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39F56" w14:textId="77777777" w:rsidR="001A24F7" w:rsidRDefault="001A24F7" w:rsidP="00831555">
      <w:pPr>
        <w:tabs>
          <w:tab w:val="left" w:pos="555"/>
          <w:tab w:val="left" w:pos="840"/>
          <w:tab w:val="left" w:pos="1140"/>
          <w:tab w:val="left" w:pos="1395"/>
          <w:tab w:val="left" w:pos="1650"/>
          <w:tab w:val="left" w:pos="1965"/>
          <w:tab w:val="left" w:pos="2220"/>
          <w:tab w:val="left" w:pos="7336"/>
        </w:tabs>
        <w:spacing w:line="240" w:lineRule="auto"/>
        <w:ind w:left="720"/>
        <w:jc w:val="both"/>
        <w:rPr>
          <w:rFonts w:ascii="Times New Roman" w:hAnsi="Times New Roman" w:cs="Times New Roman"/>
          <w:sz w:val="24"/>
          <w:szCs w:val="24"/>
          <w:lang w:val="pt-BR"/>
        </w:rPr>
      </w:pPr>
    </w:p>
    <w:p w14:paraId="0666C95F" w14:textId="77777777" w:rsidR="00CC3FC2" w:rsidRPr="00CC3FC2" w:rsidRDefault="00CC3FC2" w:rsidP="00CC3FC2">
      <w:pPr>
        <w:spacing w:line="240" w:lineRule="auto"/>
        <w:jc w:val="center"/>
        <w:rPr>
          <w:rFonts w:ascii="Times New Roman" w:hAnsi="Times New Roman" w:cs="Times New Roman"/>
          <w:b/>
          <w:bCs/>
          <w:lang w:val="pt-BR"/>
        </w:rPr>
      </w:pPr>
      <w:r w:rsidRPr="00CC3FC2">
        <w:rPr>
          <w:rFonts w:ascii="Times New Roman" w:hAnsi="Times New Roman" w:cs="Times New Roman"/>
          <w:b/>
          <w:bCs/>
          <w:lang w:val="pt-BR"/>
        </w:rPr>
        <w:t>MAPA DE RISCOS</w:t>
      </w:r>
    </w:p>
    <w:p w14:paraId="3047F6B6" w14:textId="1E857BAB" w:rsidR="00CC3FC2" w:rsidRPr="00CC3FC2" w:rsidRDefault="00CC3FC2" w:rsidP="00CC3FC2">
      <w:pPr>
        <w:spacing w:line="240" w:lineRule="auto"/>
        <w:jc w:val="center"/>
        <w:rPr>
          <w:rFonts w:ascii="Times New Roman" w:hAnsi="Times New Roman" w:cs="Times New Roman"/>
          <w:b/>
          <w:bCs/>
          <w:lang w:val="pt-BR"/>
        </w:rPr>
      </w:pPr>
      <w:r w:rsidRPr="00CC3FC2">
        <w:rPr>
          <w:rFonts w:ascii="Times New Roman" w:hAnsi="Times New Roman" w:cs="Times New Roman"/>
          <w:b/>
          <w:bCs/>
          <w:lang w:val="pt-BR"/>
        </w:rPr>
        <w:t xml:space="preserve">Contratação de Solução de Gestão Pública em modelo </w:t>
      </w:r>
      <w:r w:rsidR="0016309A">
        <w:rPr>
          <w:rFonts w:ascii="Times New Roman" w:hAnsi="Times New Roman" w:cs="Times New Roman"/>
          <w:b/>
          <w:bCs/>
          <w:lang w:val="pt-BR"/>
        </w:rPr>
        <w:t>ERP, plataforma WEB</w:t>
      </w:r>
      <w:r w:rsidRPr="00CC3FC2">
        <w:rPr>
          <w:rFonts w:ascii="Times New Roman" w:hAnsi="Times New Roman" w:cs="Times New Roman"/>
          <w:b/>
          <w:bCs/>
          <w:lang w:val="pt-BR"/>
        </w:rPr>
        <w:t xml:space="preserve"> </w:t>
      </w:r>
    </w:p>
    <w:p w14:paraId="719B1B83" w14:textId="77777777" w:rsidR="00AF5A45" w:rsidRDefault="00AF5A45" w:rsidP="00CC3FC2">
      <w:pPr>
        <w:spacing w:line="240" w:lineRule="auto"/>
        <w:jc w:val="center"/>
        <w:rPr>
          <w:rFonts w:ascii="Times New Roman" w:eastAsia="Ecofont_Spranq_eco_Sans" w:hAnsi="Times New Roman" w:cs="Times New Roman"/>
          <w:sz w:val="24"/>
          <w:szCs w:val="24"/>
          <w:lang w:val="pt-BR"/>
        </w:rPr>
      </w:pPr>
    </w:p>
    <w:p w14:paraId="487E7B57" w14:textId="77777777" w:rsidR="00CC3FC2" w:rsidRDefault="00CC3FC2" w:rsidP="00831555">
      <w:pPr>
        <w:spacing w:line="240" w:lineRule="auto"/>
        <w:rPr>
          <w:rFonts w:ascii="Times New Roman" w:eastAsia="Ecofont_Spranq_eco_Sans" w:hAnsi="Times New Roman" w:cs="Times New Roman"/>
          <w:sz w:val="24"/>
          <w:szCs w:val="24"/>
          <w:lang w:val="pt-BR"/>
        </w:rPr>
      </w:pPr>
    </w:p>
    <w:p w14:paraId="268A45B3" w14:textId="77777777" w:rsidR="0016309A" w:rsidRDefault="003D07FE" w:rsidP="00831555">
      <w:pPr>
        <w:spacing w:line="240" w:lineRule="auto"/>
        <w:rPr>
          <w:rFonts w:ascii="Times New Roman" w:eastAsia="Ecofont_Spranq_eco_Sans" w:hAnsi="Times New Roman" w:cs="Times New Roman"/>
          <w:sz w:val="24"/>
          <w:szCs w:val="24"/>
          <w:lang w:val="pt-BR"/>
        </w:rPr>
      </w:pPr>
      <w:r w:rsidRPr="003D07FE">
        <w:rPr>
          <w:rFonts w:ascii="Times New Roman" w:eastAsia="Ecofont_Spranq_eco_Sans" w:hAnsi="Times New Roman" w:cs="Times New Roman"/>
          <w:b/>
          <w:bCs/>
          <w:sz w:val="24"/>
          <w:szCs w:val="24"/>
        </w:rPr>
        <w:t>Objeto:</w:t>
      </w:r>
      <w:r w:rsidRPr="003D07FE">
        <w:rPr>
          <w:rFonts w:ascii="Times New Roman" w:eastAsia="Ecofont_Spranq_eco_Sans" w:hAnsi="Times New Roman" w:cs="Times New Roman"/>
          <w:sz w:val="24"/>
          <w:szCs w:val="24"/>
        </w:rPr>
        <w:t xml:space="preserve"> Contratação de solução integrada de gestão pública em modelo Software </w:t>
      </w:r>
      <w:r w:rsidR="0016309A">
        <w:rPr>
          <w:rFonts w:ascii="Times New Roman" w:eastAsia="Ecofont_Spranq_eco_Sans" w:hAnsi="Times New Roman" w:cs="Times New Roman"/>
          <w:sz w:val="24"/>
          <w:szCs w:val="24"/>
          <w:lang w:val="pt-BR"/>
        </w:rPr>
        <w:t>tipo ERP, totalmente na plataforma WEB</w:t>
      </w:r>
    </w:p>
    <w:p w14:paraId="5F4EAED0" w14:textId="0A061618" w:rsidR="00CC3FC2" w:rsidRPr="00CC3FC2" w:rsidRDefault="003D07FE" w:rsidP="00831555">
      <w:pPr>
        <w:spacing w:line="240" w:lineRule="auto"/>
        <w:rPr>
          <w:rFonts w:ascii="Times New Roman" w:eastAsia="Ecofont_Spranq_eco_Sans" w:hAnsi="Times New Roman" w:cs="Times New Roman"/>
          <w:sz w:val="24"/>
          <w:szCs w:val="24"/>
          <w:lang w:val="pt-BR"/>
        </w:rPr>
      </w:pPr>
      <w:r w:rsidRPr="003D07FE">
        <w:rPr>
          <w:rFonts w:ascii="Times New Roman" w:eastAsia="Ecofont_Spranq_eco_Sans" w:hAnsi="Times New Roman" w:cs="Times New Roman"/>
          <w:b/>
          <w:bCs/>
          <w:sz w:val="24"/>
          <w:szCs w:val="24"/>
        </w:rPr>
        <w:t>Órgão:</w:t>
      </w:r>
      <w:r w:rsidRPr="003D07FE">
        <w:rPr>
          <w:rFonts w:ascii="Times New Roman" w:eastAsia="Ecofont_Spranq_eco_Sans" w:hAnsi="Times New Roman" w:cs="Times New Roman"/>
          <w:sz w:val="24"/>
          <w:szCs w:val="24"/>
        </w:rPr>
        <w:t xml:space="preserve"> Conselho Regional de Enfermagem do Estado de Mato Grosso – COREN-MT</w:t>
      </w:r>
      <w:r w:rsidRPr="003D07FE">
        <w:rPr>
          <w:rFonts w:ascii="Times New Roman" w:eastAsia="Ecofont_Spranq_eco_Sans" w:hAnsi="Times New Roman" w:cs="Times New Roman"/>
          <w:sz w:val="24"/>
          <w:szCs w:val="24"/>
        </w:rPr>
        <w:br/>
      </w:r>
      <w:r w:rsidRPr="003D07FE">
        <w:rPr>
          <w:rFonts w:ascii="Times New Roman" w:eastAsia="Ecofont_Spranq_eco_Sans" w:hAnsi="Times New Roman" w:cs="Times New Roman"/>
          <w:b/>
          <w:bCs/>
          <w:sz w:val="24"/>
          <w:szCs w:val="24"/>
        </w:rPr>
        <w:t>Natureza:</w:t>
      </w:r>
      <w:r w:rsidRPr="003D07FE">
        <w:rPr>
          <w:rFonts w:ascii="Times New Roman" w:eastAsia="Ecofont_Spranq_eco_Sans" w:hAnsi="Times New Roman" w:cs="Times New Roman"/>
          <w:sz w:val="24"/>
          <w:szCs w:val="24"/>
        </w:rPr>
        <w:t xml:space="preserve"> TIC – Serviço contínuo</w:t>
      </w:r>
    </w:p>
    <w:p w14:paraId="4CF48860" w14:textId="77777777" w:rsidR="00CC3FC2" w:rsidRDefault="00CC3FC2" w:rsidP="00CC3FC2">
      <w:pPr>
        <w:pStyle w:val="TableParagraph"/>
      </w:pPr>
    </w:p>
    <w:p w14:paraId="20EF5185" w14:textId="77777777" w:rsidR="003D07FE" w:rsidRPr="003D07FE" w:rsidRDefault="003D07FE" w:rsidP="003D07FE">
      <w:pPr>
        <w:pStyle w:val="TableParagraph"/>
        <w:rPr>
          <w:b/>
          <w:bCs/>
        </w:rPr>
      </w:pPr>
      <w:r w:rsidRPr="003D07FE">
        <w:rPr>
          <w:b/>
          <w:bCs/>
        </w:rPr>
        <w:t>Escalas adotadas (padrão TCU)</w:t>
      </w:r>
    </w:p>
    <w:p w14:paraId="1817111E" w14:textId="77777777" w:rsidR="003D07FE" w:rsidRPr="003D07FE" w:rsidRDefault="003D07FE" w:rsidP="003D07FE">
      <w:pPr>
        <w:pStyle w:val="TableParagraph"/>
      </w:pPr>
      <w:r w:rsidRPr="003D07FE">
        <w:rPr>
          <w:b/>
          <w:bCs/>
        </w:rPr>
        <w:t>Probabilidade (P):</w:t>
      </w:r>
    </w:p>
    <w:p w14:paraId="47F86F69" w14:textId="77777777" w:rsidR="003D07FE" w:rsidRPr="003D07FE" w:rsidRDefault="003D07FE" w:rsidP="003D07FE">
      <w:pPr>
        <w:pStyle w:val="TableParagraph"/>
        <w:numPr>
          <w:ilvl w:val="0"/>
          <w:numId w:val="4"/>
        </w:numPr>
      </w:pPr>
      <w:r w:rsidRPr="003D07FE">
        <w:t>Baixa (B) – até 30%</w:t>
      </w:r>
    </w:p>
    <w:p w14:paraId="20D6DBE0" w14:textId="77777777" w:rsidR="003D07FE" w:rsidRPr="003D07FE" w:rsidRDefault="003D07FE" w:rsidP="003D07FE">
      <w:pPr>
        <w:pStyle w:val="TableParagraph"/>
        <w:numPr>
          <w:ilvl w:val="0"/>
          <w:numId w:val="4"/>
        </w:numPr>
      </w:pPr>
      <w:r w:rsidRPr="003D07FE">
        <w:t>Média (M) – 31% a 60%</w:t>
      </w:r>
    </w:p>
    <w:p w14:paraId="6DBDD3D9" w14:textId="77777777" w:rsidR="003D07FE" w:rsidRPr="003D07FE" w:rsidRDefault="003D07FE" w:rsidP="003D07FE">
      <w:pPr>
        <w:pStyle w:val="TableParagraph"/>
        <w:numPr>
          <w:ilvl w:val="0"/>
          <w:numId w:val="4"/>
        </w:numPr>
      </w:pPr>
      <w:r w:rsidRPr="003D07FE">
        <w:t>Alta (A) – acima de 60%</w:t>
      </w:r>
    </w:p>
    <w:p w14:paraId="267523DE" w14:textId="77777777" w:rsidR="003D07FE" w:rsidRPr="003D07FE" w:rsidRDefault="003D07FE" w:rsidP="003D07FE">
      <w:pPr>
        <w:pStyle w:val="TableParagraph"/>
      </w:pPr>
      <w:r w:rsidRPr="003D07FE">
        <w:rPr>
          <w:b/>
          <w:bCs/>
        </w:rPr>
        <w:t>Impacto (I):</w:t>
      </w:r>
    </w:p>
    <w:p w14:paraId="76EDD52F" w14:textId="77777777" w:rsidR="003D07FE" w:rsidRPr="003D07FE" w:rsidRDefault="003D07FE" w:rsidP="003D07FE">
      <w:pPr>
        <w:pStyle w:val="TableParagraph"/>
        <w:numPr>
          <w:ilvl w:val="0"/>
          <w:numId w:val="5"/>
        </w:numPr>
      </w:pPr>
      <w:r w:rsidRPr="003D07FE">
        <w:t>Mínimo</w:t>
      </w:r>
    </w:p>
    <w:p w14:paraId="1D186E9A" w14:textId="77777777" w:rsidR="003D07FE" w:rsidRPr="003D07FE" w:rsidRDefault="003D07FE" w:rsidP="003D07FE">
      <w:pPr>
        <w:pStyle w:val="TableParagraph"/>
        <w:numPr>
          <w:ilvl w:val="0"/>
          <w:numId w:val="5"/>
        </w:numPr>
      </w:pPr>
      <w:r w:rsidRPr="003D07FE">
        <w:t>Moderado</w:t>
      </w:r>
    </w:p>
    <w:p w14:paraId="4D57CD9B" w14:textId="77777777" w:rsidR="003D07FE" w:rsidRPr="003D07FE" w:rsidRDefault="003D07FE" w:rsidP="003D07FE">
      <w:pPr>
        <w:pStyle w:val="TableParagraph"/>
        <w:numPr>
          <w:ilvl w:val="0"/>
          <w:numId w:val="5"/>
        </w:numPr>
      </w:pPr>
      <w:r w:rsidRPr="003D07FE">
        <w:t>Significativo</w:t>
      </w:r>
    </w:p>
    <w:p w14:paraId="3C778DF9" w14:textId="77777777" w:rsidR="003D07FE" w:rsidRPr="003D07FE" w:rsidRDefault="003D07FE" w:rsidP="003D07FE">
      <w:pPr>
        <w:pStyle w:val="TableParagraph"/>
        <w:numPr>
          <w:ilvl w:val="0"/>
          <w:numId w:val="5"/>
        </w:numPr>
      </w:pPr>
      <w:r w:rsidRPr="003D07FE">
        <w:t>Crítico</w:t>
      </w:r>
    </w:p>
    <w:p w14:paraId="518E5B0E" w14:textId="77777777" w:rsidR="003D07FE" w:rsidRPr="003D07FE" w:rsidRDefault="003D07FE" w:rsidP="003D07FE">
      <w:pPr>
        <w:pStyle w:val="TableParagraph"/>
      </w:pPr>
      <w:r w:rsidRPr="003D07FE">
        <w:rPr>
          <w:b/>
          <w:bCs/>
        </w:rPr>
        <w:t>Nível do Risco:</w:t>
      </w:r>
      <w:r w:rsidRPr="003D07FE">
        <w:t xml:space="preserve"> Resultado da combinação P x I</w:t>
      </w:r>
    </w:p>
    <w:p w14:paraId="5D47FA81" w14:textId="77777777" w:rsidR="003D07FE" w:rsidRPr="003D07FE" w:rsidRDefault="003D07FE" w:rsidP="003D07FE">
      <w:pPr>
        <w:pStyle w:val="TableParagraph"/>
        <w:numPr>
          <w:ilvl w:val="0"/>
          <w:numId w:val="6"/>
        </w:numPr>
      </w:pPr>
      <w:r w:rsidRPr="003D07FE">
        <w:t>Baixo | Médio | Alto | Crítico</w:t>
      </w:r>
    </w:p>
    <w:p w14:paraId="73B9FC12" w14:textId="77777777" w:rsidR="003D07FE" w:rsidRDefault="003D07FE" w:rsidP="00CC3FC2">
      <w:pPr>
        <w:pStyle w:val="TableParagraph"/>
      </w:pPr>
    </w:p>
    <w:p w14:paraId="70E0B8DC" w14:textId="77777777" w:rsidR="003D07FE" w:rsidRDefault="003D07FE" w:rsidP="00CC3FC2">
      <w:pPr>
        <w:pStyle w:val="TableParagraph"/>
      </w:pPr>
    </w:p>
    <w:p w14:paraId="1AD23059" w14:textId="30D6CEC5" w:rsidR="003D07FE" w:rsidRDefault="00B273E8" w:rsidP="00CC3FC2">
      <w:pPr>
        <w:pStyle w:val="TableParagraph"/>
      </w:pPr>
      <w:r w:rsidRPr="00B273E8">
        <w:rPr>
          <w:lang w:val="zh-CN"/>
        </w:rPr>
        <w:t>O presente Mapa de Riscos foi elaborado em consonância com o Estudo Técnico Preliminar (ETP) da contratação, integrando o planejamento da contratação e subsidiando a definição das cláusulas de gestão e alocação de riscos do Termo de Referência, nos termos da Lei nº 14.133/2021</w:t>
      </w:r>
    </w:p>
    <w:p w14:paraId="576F43C7" w14:textId="77777777" w:rsidR="003D07FE" w:rsidRDefault="003D07FE" w:rsidP="00CC3FC2">
      <w:pPr>
        <w:pStyle w:val="TableParagraph"/>
      </w:pPr>
    </w:p>
    <w:p w14:paraId="1709BFBC" w14:textId="77777777" w:rsidR="003D07FE" w:rsidRDefault="003D07FE" w:rsidP="00CC3FC2">
      <w:pPr>
        <w:pStyle w:val="TableParagraph"/>
      </w:pPr>
    </w:p>
    <w:p w14:paraId="5348FD4B" w14:textId="77777777" w:rsidR="003D07FE" w:rsidRDefault="003D07FE" w:rsidP="00CC3FC2">
      <w:pPr>
        <w:pStyle w:val="TableParagraph"/>
      </w:pPr>
    </w:p>
    <w:p w14:paraId="4597B449" w14:textId="77777777" w:rsidR="003D07FE" w:rsidRDefault="003D07FE" w:rsidP="00CC3FC2">
      <w:pPr>
        <w:pStyle w:val="TableParagraph"/>
      </w:pPr>
    </w:p>
    <w:p w14:paraId="687C6AF5" w14:textId="77777777" w:rsidR="003D07FE" w:rsidRDefault="003D07FE" w:rsidP="00CC3FC2">
      <w:pPr>
        <w:pStyle w:val="TableParagraph"/>
      </w:pPr>
    </w:p>
    <w:p w14:paraId="54375AD8" w14:textId="77777777" w:rsidR="003D07FE" w:rsidRDefault="003D07FE" w:rsidP="00CC3FC2">
      <w:pPr>
        <w:pStyle w:val="TableParagraph"/>
      </w:pPr>
    </w:p>
    <w:p w14:paraId="53B22AE3" w14:textId="77777777" w:rsidR="003D07FE" w:rsidRDefault="003D07FE" w:rsidP="00CC3FC2">
      <w:pPr>
        <w:pStyle w:val="TableParagraph"/>
      </w:pPr>
    </w:p>
    <w:p w14:paraId="085F4656" w14:textId="77777777" w:rsidR="003D07FE" w:rsidRDefault="003D07FE" w:rsidP="00CC3FC2">
      <w:pPr>
        <w:pStyle w:val="TableParagraph"/>
      </w:pPr>
    </w:p>
    <w:p w14:paraId="6333D884" w14:textId="77777777" w:rsidR="003D07FE" w:rsidRDefault="003D07FE" w:rsidP="00CC3FC2">
      <w:pPr>
        <w:pStyle w:val="TableParagraph"/>
      </w:pPr>
    </w:p>
    <w:p w14:paraId="20071332" w14:textId="77777777" w:rsidR="003D07FE" w:rsidRDefault="003D07FE" w:rsidP="00CC3FC2">
      <w:pPr>
        <w:pStyle w:val="TableParagraph"/>
      </w:pPr>
    </w:p>
    <w:p w14:paraId="7FF97358" w14:textId="77777777" w:rsidR="003D07FE" w:rsidRDefault="003D07FE" w:rsidP="00CC3FC2">
      <w:pPr>
        <w:pStyle w:val="TableParagraph"/>
      </w:pPr>
    </w:p>
    <w:p w14:paraId="4D8E7DCA" w14:textId="77777777" w:rsidR="003D07FE" w:rsidRDefault="003D07FE" w:rsidP="00CC3FC2">
      <w:pPr>
        <w:pStyle w:val="TableParagraph"/>
        <w:sectPr w:rsidR="003D07FE" w:rsidSect="003D07FE">
          <w:headerReference w:type="default" r:id="rId7"/>
          <w:footerReference w:type="default" r:id="rId8"/>
          <w:pgSz w:w="11909" w:h="16834"/>
          <w:pgMar w:top="1440" w:right="1440" w:bottom="1440" w:left="1440" w:header="720" w:footer="720" w:gutter="0"/>
          <w:pgNumType w:start="1"/>
          <w:cols w:space="720"/>
        </w:sect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2"/>
        <w:gridCol w:w="1370"/>
        <w:gridCol w:w="1550"/>
        <w:gridCol w:w="1610"/>
        <w:gridCol w:w="604"/>
        <w:gridCol w:w="1124"/>
        <w:gridCol w:w="615"/>
        <w:gridCol w:w="1205"/>
        <w:gridCol w:w="1272"/>
        <w:gridCol w:w="1493"/>
        <w:gridCol w:w="1229"/>
        <w:gridCol w:w="1310"/>
      </w:tblGrid>
      <w:tr w:rsidR="003D07FE" w:rsidRPr="003D07FE" w14:paraId="15C08838" w14:textId="77777777" w:rsidTr="003D07FE">
        <w:trPr>
          <w:tblHeader/>
          <w:tblCellSpacing w:w="15" w:type="dxa"/>
        </w:trPr>
        <w:tc>
          <w:tcPr>
            <w:tcW w:w="517" w:type="dxa"/>
            <w:vAlign w:val="center"/>
            <w:hideMark/>
          </w:tcPr>
          <w:p w14:paraId="4B84B2CE" w14:textId="77777777" w:rsidR="003D07FE" w:rsidRPr="003D07FE" w:rsidRDefault="003D07FE" w:rsidP="003D07FE">
            <w:pPr>
              <w:pStyle w:val="TableParagraph"/>
              <w:rPr>
                <w:b/>
                <w:bCs/>
              </w:rPr>
            </w:pPr>
            <w:r w:rsidRPr="003D07FE">
              <w:rPr>
                <w:b/>
                <w:bCs/>
              </w:rPr>
              <w:lastRenderedPageBreak/>
              <w:t>ID</w:t>
            </w:r>
          </w:p>
        </w:tc>
        <w:tc>
          <w:tcPr>
            <w:tcW w:w="1340" w:type="dxa"/>
            <w:vAlign w:val="center"/>
            <w:hideMark/>
          </w:tcPr>
          <w:p w14:paraId="3CCC6E37" w14:textId="77777777" w:rsidR="003D07FE" w:rsidRPr="003D07FE" w:rsidRDefault="003D07FE" w:rsidP="003D07FE">
            <w:pPr>
              <w:pStyle w:val="TableParagraph"/>
              <w:rPr>
                <w:b/>
                <w:bCs/>
              </w:rPr>
            </w:pPr>
            <w:r w:rsidRPr="003D07FE">
              <w:rPr>
                <w:b/>
                <w:bCs/>
              </w:rPr>
              <w:t>Evento de Risco</w:t>
            </w:r>
          </w:p>
        </w:tc>
        <w:tc>
          <w:tcPr>
            <w:tcW w:w="1520" w:type="dxa"/>
            <w:vAlign w:val="center"/>
            <w:hideMark/>
          </w:tcPr>
          <w:p w14:paraId="09AD049B" w14:textId="77777777" w:rsidR="003D07FE" w:rsidRPr="003D07FE" w:rsidRDefault="003D07FE" w:rsidP="003D07FE">
            <w:pPr>
              <w:pStyle w:val="TableParagraph"/>
              <w:rPr>
                <w:b/>
                <w:bCs/>
              </w:rPr>
            </w:pPr>
            <w:r w:rsidRPr="003D07FE">
              <w:rPr>
                <w:b/>
                <w:bCs/>
              </w:rPr>
              <w:t>Causa(s)</w:t>
            </w:r>
          </w:p>
        </w:tc>
        <w:tc>
          <w:tcPr>
            <w:tcW w:w="1580" w:type="dxa"/>
            <w:vAlign w:val="center"/>
            <w:hideMark/>
          </w:tcPr>
          <w:p w14:paraId="4D9672DE" w14:textId="77777777" w:rsidR="003D07FE" w:rsidRPr="003D07FE" w:rsidRDefault="003D07FE" w:rsidP="003D07FE">
            <w:pPr>
              <w:pStyle w:val="TableParagraph"/>
              <w:rPr>
                <w:b/>
                <w:bCs/>
              </w:rPr>
            </w:pPr>
            <w:r w:rsidRPr="003D07FE">
              <w:rPr>
                <w:b/>
                <w:bCs/>
              </w:rPr>
              <w:t>Consequência(s)</w:t>
            </w:r>
          </w:p>
        </w:tc>
        <w:tc>
          <w:tcPr>
            <w:tcW w:w="574" w:type="dxa"/>
            <w:vAlign w:val="center"/>
            <w:hideMark/>
          </w:tcPr>
          <w:p w14:paraId="1FC19035" w14:textId="77777777" w:rsidR="003D07FE" w:rsidRPr="003D07FE" w:rsidRDefault="003D07FE" w:rsidP="003D07FE">
            <w:pPr>
              <w:pStyle w:val="TableParagraph"/>
              <w:rPr>
                <w:b/>
                <w:bCs/>
              </w:rPr>
            </w:pPr>
            <w:proofErr w:type="spellStart"/>
            <w:r w:rsidRPr="003D07FE">
              <w:rPr>
                <w:b/>
                <w:bCs/>
              </w:rPr>
              <w:t>Prob</w:t>
            </w:r>
            <w:proofErr w:type="spellEnd"/>
            <w:r w:rsidRPr="003D07FE">
              <w:rPr>
                <w:b/>
                <w:bCs/>
              </w:rPr>
              <w:t>.</w:t>
            </w:r>
          </w:p>
        </w:tc>
        <w:tc>
          <w:tcPr>
            <w:tcW w:w="1094" w:type="dxa"/>
            <w:vAlign w:val="center"/>
            <w:hideMark/>
          </w:tcPr>
          <w:p w14:paraId="5FC607C3" w14:textId="77777777" w:rsidR="003D07FE" w:rsidRPr="003D07FE" w:rsidRDefault="003D07FE" w:rsidP="003D07FE">
            <w:pPr>
              <w:pStyle w:val="TableParagraph"/>
              <w:rPr>
                <w:b/>
                <w:bCs/>
              </w:rPr>
            </w:pPr>
            <w:r w:rsidRPr="003D07FE">
              <w:rPr>
                <w:b/>
                <w:bCs/>
              </w:rPr>
              <w:t>Impacto</w:t>
            </w:r>
          </w:p>
        </w:tc>
        <w:tc>
          <w:tcPr>
            <w:tcW w:w="585" w:type="dxa"/>
            <w:vAlign w:val="center"/>
            <w:hideMark/>
          </w:tcPr>
          <w:p w14:paraId="4B249AC2" w14:textId="77777777" w:rsidR="003D07FE" w:rsidRPr="003D07FE" w:rsidRDefault="003D07FE" w:rsidP="003D07FE">
            <w:pPr>
              <w:pStyle w:val="TableParagraph"/>
              <w:rPr>
                <w:b/>
                <w:bCs/>
              </w:rPr>
            </w:pPr>
            <w:r w:rsidRPr="003D07FE">
              <w:rPr>
                <w:b/>
                <w:bCs/>
              </w:rPr>
              <w:t>Nível do Risco</w:t>
            </w:r>
          </w:p>
        </w:tc>
        <w:tc>
          <w:tcPr>
            <w:tcW w:w="1175" w:type="dxa"/>
            <w:vAlign w:val="center"/>
            <w:hideMark/>
          </w:tcPr>
          <w:p w14:paraId="5651D2ED" w14:textId="77777777" w:rsidR="003D07FE" w:rsidRPr="003D07FE" w:rsidRDefault="003D07FE" w:rsidP="003D07FE">
            <w:pPr>
              <w:pStyle w:val="TableParagraph"/>
              <w:rPr>
                <w:b/>
                <w:bCs/>
              </w:rPr>
            </w:pPr>
            <w:r w:rsidRPr="003D07FE">
              <w:rPr>
                <w:b/>
                <w:bCs/>
              </w:rPr>
              <w:t>Tratamento / Mitigação</w:t>
            </w:r>
          </w:p>
        </w:tc>
        <w:tc>
          <w:tcPr>
            <w:tcW w:w="1242" w:type="dxa"/>
            <w:vAlign w:val="center"/>
            <w:hideMark/>
          </w:tcPr>
          <w:p w14:paraId="1C15AEC2" w14:textId="77777777" w:rsidR="003D07FE" w:rsidRPr="003D07FE" w:rsidRDefault="003D07FE" w:rsidP="003D07FE">
            <w:pPr>
              <w:pStyle w:val="TableParagraph"/>
              <w:rPr>
                <w:b/>
                <w:bCs/>
              </w:rPr>
            </w:pPr>
            <w:r w:rsidRPr="003D07FE">
              <w:rPr>
                <w:b/>
                <w:bCs/>
              </w:rPr>
              <w:t>Responsável</w:t>
            </w:r>
          </w:p>
        </w:tc>
        <w:tc>
          <w:tcPr>
            <w:tcW w:w="1463" w:type="dxa"/>
            <w:vAlign w:val="center"/>
            <w:hideMark/>
          </w:tcPr>
          <w:p w14:paraId="06DE0818" w14:textId="77777777" w:rsidR="003D07FE" w:rsidRPr="003D07FE" w:rsidRDefault="003D07FE" w:rsidP="003D07FE">
            <w:pPr>
              <w:pStyle w:val="TableParagraph"/>
              <w:rPr>
                <w:b/>
                <w:bCs/>
              </w:rPr>
            </w:pPr>
            <w:r w:rsidRPr="003D07FE">
              <w:rPr>
                <w:b/>
                <w:bCs/>
              </w:rPr>
              <w:t>Gatilho</w:t>
            </w:r>
          </w:p>
        </w:tc>
        <w:tc>
          <w:tcPr>
            <w:tcW w:w="1199" w:type="dxa"/>
            <w:vAlign w:val="center"/>
            <w:hideMark/>
          </w:tcPr>
          <w:p w14:paraId="0EE93C5D" w14:textId="77777777" w:rsidR="003D07FE" w:rsidRPr="003D07FE" w:rsidRDefault="003D07FE" w:rsidP="003D07FE">
            <w:pPr>
              <w:pStyle w:val="TableParagraph"/>
              <w:rPr>
                <w:b/>
                <w:bCs/>
              </w:rPr>
            </w:pPr>
            <w:r w:rsidRPr="003D07FE">
              <w:rPr>
                <w:b/>
                <w:bCs/>
              </w:rPr>
              <w:t>Ação de Contingência</w:t>
            </w:r>
          </w:p>
        </w:tc>
        <w:tc>
          <w:tcPr>
            <w:tcW w:w="1265" w:type="dxa"/>
            <w:vAlign w:val="center"/>
            <w:hideMark/>
          </w:tcPr>
          <w:p w14:paraId="24BD85BE" w14:textId="77777777" w:rsidR="003D07FE" w:rsidRPr="003D07FE" w:rsidRDefault="003D07FE" w:rsidP="003D07FE">
            <w:pPr>
              <w:pStyle w:val="TableParagraph"/>
              <w:rPr>
                <w:b/>
                <w:bCs/>
              </w:rPr>
            </w:pPr>
            <w:r w:rsidRPr="003D07FE">
              <w:rPr>
                <w:b/>
                <w:bCs/>
              </w:rPr>
              <w:t>Alocação</w:t>
            </w:r>
          </w:p>
        </w:tc>
      </w:tr>
      <w:tr w:rsidR="003D07FE" w:rsidRPr="003D07FE" w14:paraId="051C6B9E" w14:textId="77777777" w:rsidTr="003D07FE">
        <w:trPr>
          <w:tblCellSpacing w:w="15" w:type="dxa"/>
        </w:trPr>
        <w:tc>
          <w:tcPr>
            <w:tcW w:w="517" w:type="dxa"/>
            <w:vAlign w:val="center"/>
            <w:hideMark/>
          </w:tcPr>
          <w:p w14:paraId="163676AE" w14:textId="77777777" w:rsidR="003D07FE" w:rsidRPr="003D07FE" w:rsidRDefault="003D07FE" w:rsidP="003D07FE">
            <w:pPr>
              <w:pStyle w:val="TableParagraph"/>
            </w:pPr>
            <w:r w:rsidRPr="003D07FE">
              <w:t>R01</w:t>
            </w:r>
          </w:p>
        </w:tc>
        <w:tc>
          <w:tcPr>
            <w:tcW w:w="1340" w:type="dxa"/>
            <w:vAlign w:val="center"/>
            <w:hideMark/>
          </w:tcPr>
          <w:p w14:paraId="4273BCBD" w14:textId="3CA28561" w:rsidR="003D07FE" w:rsidRPr="003D07FE" w:rsidRDefault="003D07FE" w:rsidP="003D07FE">
            <w:pPr>
              <w:pStyle w:val="TableParagraph"/>
            </w:pPr>
            <w:r w:rsidRPr="003D07FE">
              <w:t xml:space="preserve">Interrupção do sistema </w:t>
            </w:r>
            <w:r w:rsidR="0016309A">
              <w:t>ERP</w:t>
            </w:r>
          </w:p>
        </w:tc>
        <w:tc>
          <w:tcPr>
            <w:tcW w:w="1520" w:type="dxa"/>
            <w:vAlign w:val="center"/>
            <w:hideMark/>
          </w:tcPr>
          <w:p w14:paraId="6D1C7C18" w14:textId="77777777" w:rsidR="003D07FE" w:rsidRPr="003D07FE" w:rsidRDefault="003D07FE" w:rsidP="003D07FE">
            <w:pPr>
              <w:pStyle w:val="TableParagraph"/>
            </w:pPr>
            <w:r w:rsidRPr="003D07FE">
              <w:t>Falha técnica no ambiente do fornecedor</w:t>
            </w:r>
          </w:p>
        </w:tc>
        <w:tc>
          <w:tcPr>
            <w:tcW w:w="1580" w:type="dxa"/>
            <w:vAlign w:val="center"/>
            <w:hideMark/>
          </w:tcPr>
          <w:p w14:paraId="78D191F6" w14:textId="77777777" w:rsidR="003D07FE" w:rsidRPr="003D07FE" w:rsidRDefault="003D07FE" w:rsidP="003D07FE">
            <w:pPr>
              <w:pStyle w:val="TableParagraph"/>
            </w:pPr>
            <w:r w:rsidRPr="003D07FE">
              <w:t>Paralisação das atividades administrativas</w:t>
            </w:r>
          </w:p>
        </w:tc>
        <w:tc>
          <w:tcPr>
            <w:tcW w:w="574" w:type="dxa"/>
            <w:vAlign w:val="center"/>
            <w:hideMark/>
          </w:tcPr>
          <w:p w14:paraId="1AD98447" w14:textId="77777777" w:rsidR="003D07FE" w:rsidRPr="003D07FE" w:rsidRDefault="003D07FE" w:rsidP="003D07FE">
            <w:pPr>
              <w:pStyle w:val="TableParagraph"/>
            </w:pPr>
            <w:r w:rsidRPr="003D07FE">
              <w:t>Média</w:t>
            </w:r>
          </w:p>
        </w:tc>
        <w:tc>
          <w:tcPr>
            <w:tcW w:w="1094" w:type="dxa"/>
            <w:vAlign w:val="center"/>
            <w:hideMark/>
          </w:tcPr>
          <w:p w14:paraId="25B45FA7" w14:textId="77777777" w:rsidR="003D07FE" w:rsidRPr="003D07FE" w:rsidRDefault="003D07FE" w:rsidP="003D07FE">
            <w:pPr>
              <w:pStyle w:val="TableParagraph"/>
            </w:pPr>
            <w:r w:rsidRPr="003D07FE">
              <w:t>Crítico</w:t>
            </w:r>
          </w:p>
        </w:tc>
        <w:tc>
          <w:tcPr>
            <w:tcW w:w="585" w:type="dxa"/>
            <w:vAlign w:val="center"/>
            <w:hideMark/>
          </w:tcPr>
          <w:p w14:paraId="13C64491" w14:textId="77777777" w:rsidR="003D07FE" w:rsidRPr="003D07FE" w:rsidRDefault="003D07FE" w:rsidP="003D07FE">
            <w:pPr>
              <w:pStyle w:val="TableParagraph"/>
            </w:pPr>
            <w:r w:rsidRPr="003D07FE">
              <w:t>Alto</w:t>
            </w:r>
          </w:p>
        </w:tc>
        <w:tc>
          <w:tcPr>
            <w:tcW w:w="1175" w:type="dxa"/>
            <w:vAlign w:val="center"/>
            <w:hideMark/>
          </w:tcPr>
          <w:p w14:paraId="38411950" w14:textId="77777777" w:rsidR="003D07FE" w:rsidRPr="003D07FE" w:rsidRDefault="003D07FE" w:rsidP="003D07FE">
            <w:pPr>
              <w:pStyle w:val="TableParagraph"/>
            </w:pPr>
            <w:r w:rsidRPr="003D07FE">
              <w:t>Exigir SLA mínimo, redundância e plano de contingência</w:t>
            </w:r>
          </w:p>
        </w:tc>
        <w:tc>
          <w:tcPr>
            <w:tcW w:w="1242" w:type="dxa"/>
            <w:vAlign w:val="center"/>
            <w:hideMark/>
          </w:tcPr>
          <w:p w14:paraId="3474D31A" w14:textId="77777777" w:rsidR="003D07FE" w:rsidRPr="003D07FE" w:rsidRDefault="003D07FE" w:rsidP="003D07FE">
            <w:pPr>
              <w:pStyle w:val="TableParagraph"/>
            </w:pPr>
            <w:r w:rsidRPr="003D07FE">
              <w:t>Contratada</w:t>
            </w:r>
          </w:p>
        </w:tc>
        <w:tc>
          <w:tcPr>
            <w:tcW w:w="1463" w:type="dxa"/>
            <w:vAlign w:val="center"/>
            <w:hideMark/>
          </w:tcPr>
          <w:p w14:paraId="00D35967" w14:textId="77777777" w:rsidR="003D07FE" w:rsidRPr="003D07FE" w:rsidRDefault="003D07FE" w:rsidP="003D07FE">
            <w:pPr>
              <w:pStyle w:val="TableParagraph"/>
            </w:pPr>
            <w:r w:rsidRPr="003D07FE">
              <w:t>Indisponibilidade &gt; 2h</w:t>
            </w:r>
          </w:p>
        </w:tc>
        <w:tc>
          <w:tcPr>
            <w:tcW w:w="1199" w:type="dxa"/>
            <w:vAlign w:val="center"/>
            <w:hideMark/>
          </w:tcPr>
          <w:p w14:paraId="4719666F" w14:textId="77777777" w:rsidR="003D07FE" w:rsidRPr="003D07FE" w:rsidRDefault="003D07FE" w:rsidP="003D07FE">
            <w:pPr>
              <w:pStyle w:val="TableParagraph"/>
            </w:pPr>
            <w:r w:rsidRPr="003D07FE">
              <w:t>Aplicação de penalidades e acionamento do plano de continuidade</w:t>
            </w:r>
          </w:p>
        </w:tc>
        <w:tc>
          <w:tcPr>
            <w:tcW w:w="1265" w:type="dxa"/>
            <w:vAlign w:val="center"/>
            <w:hideMark/>
          </w:tcPr>
          <w:p w14:paraId="347B9C00" w14:textId="77777777" w:rsidR="003D07FE" w:rsidRPr="003D07FE" w:rsidRDefault="003D07FE" w:rsidP="003D07FE">
            <w:pPr>
              <w:pStyle w:val="TableParagraph"/>
            </w:pPr>
            <w:r w:rsidRPr="003D07FE">
              <w:t>Contratada</w:t>
            </w:r>
          </w:p>
        </w:tc>
      </w:tr>
      <w:tr w:rsidR="003D07FE" w:rsidRPr="003D07FE" w14:paraId="6FC625FA" w14:textId="77777777" w:rsidTr="003D07FE">
        <w:trPr>
          <w:tblCellSpacing w:w="15" w:type="dxa"/>
        </w:trPr>
        <w:tc>
          <w:tcPr>
            <w:tcW w:w="517" w:type="dxa"/>
            <w:vAlign w:val="center"/>
            <w:hideMark/>
          </w:tcPr>
          <w:p w14:paraId="2E59480B" w14:textId="77777777" w:rsidR="003D07FE" w:rsidRPr="003D07FE" w:rsidRDefault="003D07FE" w:rsidP="003D07FE">
            <w:pPr>
              <w:pStyle w:val="TableParagraph"/>
            </w:pPr>
            <w:r w:rsidRPr="003D07FE">
              <w:t>R02</w:t>
            </w:r>
          </w:p>
        </w:tc>
        <w:tc>
          <w:tcPr>
            <w:tcW w:w="1340" w:type="dxa"/>
            <w:vAlign w:val="center"/>
            <w:hideMark/>
          </w:tcPr>
          <w:p w14:paraId="322D97F4" w14:textId="77777777" w:rsidR="003D07FE" w:rsidRPr="003D07FE" w:rsidRDefault="003D07FE" w:rsidP="003D07FE">
            <w:pPr>
              <w:pStyle w:val="TableParagraph"/>
            </w:pPr>
            <w:r w:rsidRPr="003D07FE">
              <w:t>Perda ou corrupção de dados</w:t>
            </w:r>
          </w:p>
        </w:tc>
        <w:tc>
          <w:tcPr>
            <w:tcW w:w="1520" w:type="dxa"/>
            <w:vAlign w:val="center"/>
            <w:hideMark/>
          </w:tcPr>
          <w:p w14:paraId="1A2B29D5" w14:textId="77777777" w:rsidR="003D07FE" w:rsidRPr="003D07FE" w:rsidRDefault="003D07FE" w:rsidP="003D07FE">
            <w:pPr>
              <w:pStyle w:val="TableParagraph"/>
            </w:pPr>
            <w:r w:rsidRPr="003D07FE">
              <w:t>Falha em backup ou ataque cibernético</w:t>
            </w:r>
          </w:p>
        </w:tc>
        <w:tc>
          <w:tcPr>
            <w:tcW w:w="1580" w:type="dxa"/>
            <w:vAlign w:val="center"/>
            <w:hideMark/>
          </w:tcPr>
          <w:p w14:paraId="04F0A115" w14:textId="77777777" w:rsidR="003D07FE" w:rsidRPr="003D07FE" w:rsidRDefault="003D07FE" w:rsidP="003D07FE">
            <w:pPr>
              <w:pStyle w:val="TableParagraph"/>
            </w:pPr>
            <w:r w:rsidRPr="003D07FE">
              <w:t>Prejuízo institucional e legal</w:t>
            </w:r>
          </w:p>
        </w:tc>
        <w:tc>
          <w:tcPr>
            <w:tcW w:w="574" w:type="dxa"/>
            <w:vAlign w:val="center"/>
            <w:hideMark/>
          </w:tcPr>
          <w:p w14:paraId="1E6047CC" w14:textId="77777777" w:rsidR="003D07FE" w:rsidRPr="003D07FE" w:rsidRDefault="003D07FE" w:rsidP="003D07FE">
            <w:pPr>
              <w:pStyle w:val="TableParagraph"/>
            </w:pPr>
            <w:r w:rsidRPr="003D07FE">
              <w:t>Baixa</w:t>
            </w:r>
          </w:p>
        </w:tc>
        <w:tc>
          <w:tcPr>
            <w:tcW w:w="1094" w:type="dxa"/>
            <w:vAlign w:val="center"/>
            <w:hideMark/>
          </w:tcPr>
          <w:p w14:paraId="6EAF142E" w14:textId="77777777" w:rsidR="003D07FE" w:rsidRPr="003D07FE" w:rsidRDefault="003D07FE" w:rsidP="003D07FE">
            <w:pPr>
              <w:pStyle w:val="TableParagraph"/>
            </w:pPr>
            <w:r w:rsidRPr="003D07FE">
              <w:t>Crítico</w:t>
            </w:r>
          </w:p>
        </w:tc>
        <w:tc>
          <w:tcPr>
            <w:tcW w:w="585" w:type="dxa"/>
            <w:vAlign w:val="center"/>
            <w:hideMark/>
          </w:tcPr>
          <w:p w14:paraId="4DA615F5" w14:textId="77777777" w:rsidR="003D07FE" w:rsidRPr="003D07FE" w:rsidRDefault="003D07FE" w:rsidP="003D07FE">
            <w:pPr>
              <w:pStyle w:val="TableParagraph"/>
            </w:pPr>
            <w:r w:rsidRPr="003D07FE">
              <w:t>Alto</w:t>
            </w:r>
          </w:p>
        </w:tc>
        <w:tc>
          <w:tcPr>
            <w:tcW w:w="1175" w:type="dxa"/>
            <w:vAlign w:val="center"/>
            <w:hideMark/>
          </w:tcPr>
          <w:p w14:paraId="77A52B8C" w14:textId="77777777" w:rsidR="003D07FE" w:rsidRPr="003D07FE" w:rsidRDefault="003D07FE" w:rsidP="003D07FE">
            <w:pPr>
              <w:pStyle w:val="TableParagraph"/>
            </w:pPr>
            <w:r w:rsidRPr="003D07FE">
              <w:t>Exigir backup diário, criptografia e testes periódicos</w:t>
            </w:r>
          </w:p>
        </w:tc>
        <w:tc>
          <w:tcPr>
            <w:tcW w:w="1242" w:type="dxa"/>
            <w:vAlign w:val="center"/>
            <w:hideMark/>
          </w:tcPr>
          <w:p w14:paraId="16848802" w14:textId="77777777" w:rsidR="003D07FE" w:rsidRPr="003D07FE" w:rsidRDefault="003D07FE" w:rsidP="003D07FE">
            <w:pPr>
              <w:pStyle w:val="TableParagraph"/>
            </w:pPr>
            <w:r w:rsidRPr="003D07FE">
              <w:t>Contratada</w:t>
            </w:r>
          </w:p>
        </w:tc>
        <w:tc>
          <w:tcPr>
            <w:tcW w:w="1463" w:type="dxa"/>
            <w:vAlign w:val="center"/>
            <w:hideMark/>
          </w:tcPr>
          <w:p w14:paraId="756268CC" w14:textId="77777777" w:rsidR="003D07FE" w:rsidRPr="003D07FE" w:rsidRDefault="003D07FE" w:rsidP="003D07FE">
            <w:pPr>
              <w:pStyle w:val="TableParagraph"/>
            </w:pPr>
            <w:r w:rsidRPr="003D07FE">
              <w:t>Falha de restauração</w:t>
            </w:r>
          </w:p>
        </w:tc>
        <w:tc>
          <w:tcPr>
            <w:tcW w:w="1199" w:type="dxa"/>
            <w:vAlign w:val="center"/>
            <w:hideMark/>
          </w:tcPr>
          <w:p w14:paraId="5B5B6387" w14:textId="77777777" w:rsidR="003D07FE" w:rsidRPr="003D07FE" w:rsidRDefault="003D07FE" w:rsidP="003D07FE">
            <w:pPr>
              <w:pStyle w:val="TableParagraph"/>
            </w:pPr>
            <w:r w:rsidRPr="003D07FE">
              <w:t>Recuperação via backup e comunicação imediata</w:t>
            </w:r>
          </w:p>
        </w:tc>
        <w:tc>
          <w:tcPr>
            <w:tcW w:w="1265" w:type="dxa"/>
            <w:vAlign w:val="center"/>
            <w:hideMark/>
          </w:tcPr>
          <w:p w14:paraId="5C0610FA" w14:textId="77777777" w:rsidR="003D07FE" w:rsidRPr="003D07FE" w:rsidRDefault="003D07FE" w:rsidP="003D07FE">
            <w:pPr>
              <w:pStyle w:val="TableParagraph"/>
            </w:pPr>
            <w:r w:rsidRPr="003D07FE">
              <w:t>Contratada</w:t>
            </w:r>
          </w:p>
        </w:tc>
      </w:tr>
      <w:tr w:rsidR="003D07FE" w:rsidRPr="003D07FE" w14:paraId="3600DC58" w14:textId="77777777" w:rsidTr="003D07FE">
        <w:trPr>
          <w:tblCellSpacing w:w="15" w:type="dxa"/>
        </w:trPr>
        <w:tc>
          <w:tcPr>
            <w:tcW w:w="517" w:type="dxa"/>
            <w:vAlign w:val="center"/>
            <w:hideMark/>
          </w:tcPr>
          <w:p w14:paraId="1FABDBE3" w14:textId="77777777" w:rsidR="003D07FE" w:rsidRPr="003D07FE" w:rsidRDefault="003D07FE" w:rsidP="003D07FE">
            <w:pPr>
              <w:pStyle w:val="TableParagraph"/>
            </w:pPr>
            <w:r w:rsidRPr="003D07FE">
              <w:t>R03</w:t>
            </w:r>
          </w:p>
        </w:tc>
        <w:tc>
          <w:tcPr>
            <w:tcW w:w="1340" w:type="dxa"/>
            <w:vAlign w:val="center"/>
            <w:hideMark/>
          </w:tcPr>
          <w:p w14:paraId="1F1F54E1" w14:textId="77777777" w:rsidR="003D07FE" w:rsidRPr="003D07FE" w:rsidRDefault="003D07FE" w:rsidP="003D07FE">
            <w:pPr>
              <w:pStyle w:val="TableParagraph"/>
            </w:pPr>
            <w:r w:rsidRPr="003D07FE">
              <w:t xml:space="preserve">Dependência excessiva do </w:t>
            </w:r>
            <w:r w:rsidRPr="003D07FE">
              <w:lastRenderedPageBreak/>
              <w:t>fornecedor (</w:t>
            </w:r>
            <w:proofErr w:type="spellStart"/>
            <w:r w:rsidRPr="003D07FE">
              <w:t>lock</w:t>
            </w:r>
            <w:proofErr w:type="spellEnd"/>
            <w:r w:rsidRPr="003D07FE">
              <w:t>-in)</w:t>
            </w:r>
          </w:p>
        </w:tc>
        <w:tc>
          <w:tcPr>
            <w:tcW w:w="1520" w:type="dxa"/>
            <w:vAlign w:val="center"/>
            <w:hideMark/>
          </w:tcPr>
          <w:p w14:paraId="1008052C" w14:textId="77777777" w:rsidR="003D07FE" w:rsidRPr="003D07FE" w:rsidRDefault="003D07FE" w:rsidP="003D07FE">
            <w:pPr>
              <w:pStyle w:val="TableParagraph"/>
            </w:pPr>
            <w:r w:rsidRPr="003D07FE">
              <w:lastRenderedPageBreak/>
              <w:t xml:space="preserve">Formato proprietário e </w:t>
            </w:r>
            <w:r w:rsidRPr="003D07FE">
              <w:lastRenderedPageBreak/>
              <w:t>ausência de portabilidade</w:t>
            </w:r>
          </w:p>
        </w:tc>
        <w:tc>
          <w:tcPr>
            <w:tcW w:w="1580" w:type="dxa"/>
            <w:vAlign w:val="center"/>
            <w:hideMark/>
          </w:tcPr>
          <w:p w14:paraId="1EBB1CC3" w14:textId="77777777" w:rsidR="003D07FE" w:rsidRPr="003D07FE" w:rsidRDefault="003D07FE" w:rsidP="003D07FE">
            <w:pPr>
              <w:pStyle w:val="TableParagraph"/>
            </w:pPr>
            <w:r w:rsidRPr="003D07FE">
              <w:lastRenderedPageBreak/>
              <w:t>Dificuldade de migração futura</w:t>
            </w:r>
          </w:p>
        </w:tc>
        <w:tc>
          <w:tcPr>
            <w:tcW w:w="574" w:type="dxa"/>
            <w:vAlign w:val="center"/>
            <w:hideMark/>
          </w:tcPr>
          <w:p w14:paraId="0B4B2C06" w14:textId="77777777" w:rsidR="003D07FE" w:rsidRPr="003D07FE" w:rsidRDefault="003D07FE" w:rsidP="003D07FE">
            <w:pPr>
              <w:pStyle w:val="TableParagraph"/>
            </w:pPr>
            <w:r w:rsidRPr="003D07FE">
              <w:t>Média</w:t>
            </w:r>
          </w:p>
        </w:tc>
        <w:tc>
          <w:tcPr>
            <w:tcW w:w="1094" w:type="dxa"/>
            <w:vAlign w:val="center"/>
            <w:hideMark/>
          </w:tcPr>
          <w:p w14:paraId="5DE4AB15" w14:textId="77777777" w:rsidR="003D07FE" w:rsidRPr="003D07FE" w:rsidRDefault="003D07FE" w:rsidP="003D07FE">
            <w:pPr>
              <w:pStyle w:val="TableParagraph"/>
            </w:pPr>
            <w:r w:rsidRPr="003D07FE">
              <w:t>Significativo</w:t>
            </w:r>
          </w:p>
        </w:tc>
        <w:tc>
          <w:tcPr>
            <w:tcW w:w="585" w:type="dxa"/>
            <w:vAlign w:val="center"/>
            <w:hideMark/>
          </w:tcPr>
          <w:p w14:paraId="28843AB8" w14:textId="77777777" w:rsidR="003D07FE" w:rsidRPr="003D07FE" w:rsidRDefault="003D07FE" w:rsidP="003D07FE">
            <w:pPr>
              <w:pStyle w:val="TableParagraph"/>
            </w:pPr>
            <w:r w:rsidRPr="003D07FE">
              <w:t>Médio</w:t>
            </w:r>
          </w:p>
        </w:tc>
        <w:tc>
          <w:tcPr>
            <w:tcW w:w="1175" w:type="dxa"/>
            <w:vAlign w:val="center"/>
            <w:hideMark/>
          </w:tcPr>
          <w:p w14:paraId="73CD6282" w14:textId="77777777" w:rsidR="003D07FE" w:rsidRPr="003D07FE" w:rsidRDefault="003D07FE" w:rsidP="003D07FE">
            <w:pPr>
              <w:pStyle w:val="TableParagraph"/>
            </w:pPr>
            <w:r w:rsidRPr="003D07FE">
              <w:t xml:space="preserve">Exigir exportação </w:t>
            </w:r>
            <w:r w:rsidRPr="003D07FE">
              <w:lastRenderedPageBreak/>
              <w:t>de dados em formato aberto</w:t>
            </w:r>
          </w:p>
        </w:tc>
        <w:tc>
          <w:tcPr>
            <w:tcW w:w="1242" w:type="dxa"/>
            <w:vAlign w:val="center"/>
            <w:hideMark/>
          </w:tcPr>
          <w:p w14:paraId="294901E0" w14:textId="77777777" w:rsidR="003D07FE" w:rsidRPr="003D07FE" w:rsidRDefault="003D07FE" w:rsidP="003D07FE">
            <w:pPr>
              <w:pStyle w:val="TableParagraph"/>
            </w:pPr>
            <w:r w:rsidRPr="003D07FE">
              <w:lastRenderedPageBreak/>
              <w:t>Administração</w:t>
            </w:r>
          </w:p>
        </w:tc>
        <w:tc>
          <w:tcPr>
            <w:tcW w:w="1463" w:type="dxa"/>
            <w:vAlign w:val="center"/>
            <w:hideMark/>
          </w:tcPr>
          <w:p w14:paraId="70D9B089" w14:textId="77777777" w:rsidR="003D07FE" w:rsidRPr="003D07FE" w:rsidRDefault="003D07FE" w:rsidP="003D07FE">
            <w:pPr>
              <w:pStyle w:val="TableParagraph"/>
            </w:pPr>
            <w:r w:rsidRPr="003D07FE">
              <w:t xml:space="preserve">Aviso de encerramento </w:t>
            </w:r>
            <w:r w:rsidRPr="003D07FE">
              <w:lastRenderedPageBreak/>
              <w:t>contratual</w:t>
            </w:r>
          </w:p>
        </w:tc>
        <w:tc>
          <w:tcPr>
            <w:tcW w:w="1199" w:type="dxa"/>
            <w:vAlign w:val="center"/>
            <w:hideMark/>
          </w:tcPr>
          <w:p w14:paraId="6A566084" w14:textId="77777777" w:rsidR="003D07FE" w:rsidRPr="003D07FE" w:rsidRDefault="003D07FE" w:rsidP="003D07FE">
            <w:pPr>
              <w:pStyle w:val="TableParagraph"/>
            </w:pPr>
            <w:r w:rsidRPr="003D07FE">
              <w:lastRenderedPageBreak/>
              <w:t xml:space="preserve">Planejar migração e </w:t>
            </w:r>
            <w:r w:rsidRPr="003D07FE">
              <w:lastRenderedPageBreak/>
              <w:t>nova contratação</w:t>
            </w:r>
          </w:p>
        </w:tc>
        <w:tc>
          <w:tcPr>
            <w:tcW w:w="1265" w:type="dxa"/>
            <w:vAlign w:val="center"/>
            <w:hideMark/>
          </w:tcPr>
          <w:p w14:paraId="0EC1A5C3" w14:textId="08742136" w:rsidR="003D07FE" w:rsidRPr="003D07FE" w:rsidRDefault="00B273E8" w:rsidP="003D07FE">
            <w:pPr>
              <w:pStyle w:val="TableParagraph"/>
            </w:pPr>
            <w:r>
              <w:lastRenderedPageBreak/>
              <w:t xml:space="preserve">Administração e </w:t>
            </w:r>
            <w:r>
              <w:lastRenderedPageBreak/>
              <w:t>Contratada</w:t>
            </w:r>
          </w:p>
        </w:tc>
      </w:tr>
      <w:tr w:rsidR="003D07FE" w:rsidRPr="003D07FE" w14:paraId="71AC293D" w14:textId="77777777" w:rsidTr="003D07FE">
        <w:trPr>
          <w:tblCellSpacing w:w="15" w:type="dxa"/>
        </w:trPr>
        <w:tc>
          <w:tcPr>
            <w:tcW w:w="517" w:type="dxa"/>
            <w:vAlign w:val="center"/>
            <w:hideMark/>
          </w:tcPr>
          <w:p w14:paraId="5A11DFC7" w14:textId="77777777" w:rsidR="003D07FE" w:rsidRPr="003D07FE" w:rsidRDefault="003D07FE" w:rsidP="003D07FE">
            <w:pPr>
              <w:pStyle w:val="TableParagraph"/>
            </w:pPr>
            <w:r w:rsidRPr="003D07FE">
              <w:lastRenderedPageBreak/>
              <w:t>R04</w:t>
            </w:r>
          </w:p>
        </w:tc>
        <w:tc>
          <w:tcPr>
            <w:tcW w:w="1340" w:type="dxa"/>
            <w:vAlign w:val="center"/>
            <w:hideMark/>
          </w:tcPr>
          <w:p w14:paraId="7AC2BDE4" w14:textId="77777777" w:rsidR="003D07FE" w:rsidRPr="003D07FE" w:rsidRDefault="003D07FE" w:rsidP="003D07FE">
            <w:pPr>
              <w:pStyle w:val="TableParagraph"/>
            </w:pPr>
            <w:r w:rsidRPr="003D07FE">
              <w:t>Não conformidade legal do sistema</w:t>
            </w:r>
          </w:p>
        </w:tc>
        <w:tc>
          <w:tcPr>
            <w:tcW w:w="1520" w:type="dxa"/>
            <w:vAlign w:val="center"/>
            <w:hideMark/>
          </w:tcPr>
          <w:p w14:paraId="1BFBC38C" w14:textId="77777777" w:rsidR="003D07FE" w:rsidRPr="003D07FE" w:rsidRDefault="003D07FE" w:rsidP="003D07FE">
            <w:pPr>
              <w:pStyle w:val="TableParagraph"/>
            </w:pPr>
            <w:r w:rsidRPr="003D07FE">
              <w:t>Mudanças normativas não implementadas</w:t>
            </w:r>
          </w:p>
        </w:tc>
        <w:tc>
          <w:tcPr>
            <w:tcW w:w="1580" w:type="dxa"/>
            <w:vAlign w:val="center"/>
            <w:hideMark/>
          </w:tcPr>
          <w:p w14:paraId="2489A51B" w14:textId="77777777" w:rsidR="003D07FE" w:rsidRPr="003D07FE" w:rsidRDefault="003D07FE" w:rsidP="003D07FE">
            <w:pPr>
              <w:pStyle w:val="TableParagraph"/>
            </w:pPr>
            <w:r w:rsidRPr="003D07FE">
              <w:t>Apontamentos do TCU / COFEN</w:t>
            </w:r>
          </w:p>
        </w:tc>
        <w:tc>
          <w:tcPr>
            <w:tcW w:w="574" w:type="dxa"/>
            <w:vAlign w:val="center"/>
            <w:hideMark/>
          </w:tcPr>
          <w:p w14:paraId="4F8FCF14" w14:textId="77777777" w:rsidR="003D07FE" w:rsidRPr="003D07FE" w:rsidRDefault="003D07FE" w:rsidP="003D07FE">
            <w:pPr>
              <w:pStyle w:val="TableParagraph"/>
            </w:pPr>
            <w:r w:rsidRPr="003D07FE">
              <w:t>Média</w:t>
            </w:r>
          </w:p>
        </w:tc>
        <w:tc>
          <w:tcPr>
            <w:tcW w:w="1094" w:type="dxa"/>
            <w:vAlign w:val="center"/>
            <w:hideMark/>
          </w:tcPr>
          <w:p w14:paraId="5B081D0A" w14:textId="77777777" w:rsidR="003D07FE" w:rsidRPr="003D07FE" w:rsidRDefault="003D07FE" w:rsidP="003D07FE">
            <w:pPr>
              <w:pStyle w:val="TableParagraph"/>
            </w:pPr>
            <w:r w:rsidRPr="003D07FE">
              <w:t>Significativo</w:t>
            </w:r>
          </w:p>
        </w:tc>
        <w:tc>
          <w:tcPr>
            <w:tcW w:w="585" w:type="dxa"/>
            <w:vAlign w:val="center"/>
            <w:hideMark/>
          </w:tcPr>
          <w:p w14:paraId="614EDC40" w14:textId="77777777" w:rsidR="003D07FE" w:rsidRPr="003D07FE" w:rsidRDefault="003D07FE" w:rsidP="003D07FE">
            <w:pPr>
              <w:pStyle w:val="TableParagraph"/>
            </w:pPr>
            <w:r w:rsidRPr="003D07FE">
              <w:t>Médio</w:t>
            </w:r>
          </w:p>
        </w:tc>
        <w:tc>
          <w:tcPr>
            <w:tcW w:w="1175" w:type="dxa"/>
            <w:vAlign w:val="center"/>
            <w:hideMark/>
          </w:tcPr>
          <w:p w14:paraId="2964785D" w14:textId="77777777" w:rsidR="003D07FE" w:rsidRPr="003D07FE" w:rsidRDefault="003D07FE" w:rsidP="003D07FE">
            <w:pPr>
              <w:pStyle w:val="TableParagraph"/>
            </w:pPr>
            <w:r w:rsidRPr="003D07FE">
              <w:t>Cláusula de atualização legal contínua</w:t>
            </w:r>
          </w:p>
        </w:tc>
        <w:tc>
          <w:tcPr>
            <w:tcW w:w="1242" w:type="dxa"/>
            <w:vAlign w:val="center"/>
            <w:hideMark/>
          </w:tcPr>
          <w:p w14:paraId="0E6A5DF5" w14:textId="77777777" w:rsidR="003D07FE" w:rsidRPr="003D07FE" w:rsidRDefault="003D07FE" w:rsidP="003D07FE">
            <w:pPr>
              <w:pStyle w:val="TableParagraph"/>
            </w:pPr>
            <w:r w:rsidRPr="003D07FE">
              <w:t>Contratada</w:t>
            </w:r>
          </w:p>
        </w:tc>
        <w:tc>
          <w:tcPr>
            <w:tcW w:w="1463" w:type="dxa"/>
            <w:vAlign w:val="center"/>
            <w:hideMark/>
          </w:tcPr>
          <w:p w14:paraId="21A32F23" w14:textId="77777777" w:rsidR="003D07FE" w:rsidRPr="003D07FE" w:rsidRDefault="003D07FE" w:rsidP="003D07FE">
            <w:pPr>
              <w:pStyle w:val="TableParagraph"/>
            </w:pPr>
            <w:r w:rsidRPr="003D07FE">
              <w:t>Publicação de nova norma</w:t>
            </w:r>
          </w:p>
        </w:tc>
        <w:tc>
          <w:tcPr>
            <w:tcW w:w="1199" w:type="dxa"/>
            <w:vAlign w:val="center"/>
            <w:hideMark/>
          </w:tcPr>
          <w:p w14:paraId="0C540EDC" w14:textId="77777777" w:rsidR="003D07FE" w:rsidRPr="003D07FE" w:rsidRDefault="003D07FE" w:rsidP="003D07FE">
            <w:pPr>
              <w:pStyle w:val="TableParagraph"/>
            </w:pPr>
            <w:r w:rsidRPr="003D07FE">
              <w:t>Atualização emergencial do sistema</w:t>
            </w:r>
          </w:p>
        </w:tc>
        <w:tc>
          <w:tcPr>
            <w:tcW w:w="1265" w:type="dxa"/>
            <w:vAlign w:val="center"/>
            <w:hideMark/>
          </w:tcPr>
          <w:p w14:paraId="0FCAC9CB" w14:textId="77777777" w:rsidR="003D07FE" w:rsidRPr="003D07FE" w:rsidRDefault="003D07FE" w:rsidP="003D07FE">
            <w:pPr>
              <w:pStyle w:val="TableParagraph"/>
            </w:pPr>
            <w:r w:rsidRPr="003D07FE">
              <w:t>Contratada</w:t>
            </w:r>
          </w:p>
        </w:tc>
      </w:tr>
      <w:tr w:rsidR="003D07FE" w:rsidRPr="003D07FE" w14:paraId="18131945" w14:textId="77777777" w:rsidTr="003D07FE">
        <w:trPr>
          <w:tblCellSpacing w:w="15" w:type="dxa"/>
        </w:trPr>
        <w:tc>
          <w:tcPr>
            <w:tcW w:w="517" w:type="dxa"/>
            <w:vAlign w:val="center"/>
            <w:hideMark/>
          </w:tcPr>
          <w:p w14:paraId="74B707B6" w14:textId="77777777" w:rsidR="003D07FE" w:rsidRPr="003D07FE" w:rsidRDefault="003D07FE" w:rsidP="003D07FE">
            <w:pPr>
              <w:pStyle w:val="TableParagraph"/>
            </w:pPr>
            <w:r w:rsidRPr="003D07FE">
              <w:t>R05</w:t>
            </w:r>
          </w:p>
        </w:tc>
        <w:tc>
          <w:tcPr>
            <w:tcW w:w="1340" w:type="dxa"/>
            <w:vAlign w:val="center"/>
            <w:hideMark/>
          </w:tcPr>
          <w:p w14:paraId="2CAFC961" w14:textId="77777777" w:rsidR="003D07FE" w:rsidRPr="003D07FE" w:rsidRDefault="003D07FE" w:rsidP="003D07FE">
            <w:pPr>
              <w:pStyle w:val="TableParagraph"/>
            </w:pPr>
            <w:r w:rsidRPr="003D07FE">
              <w:t>Falhas na integração entre módulos</w:t>
            </w:r>
          </w:p>
        </w:tc>
        <w:tc>
          <w:tcPr>
            <w:tcW w:w="1520" w:type="dxa"/>
            <w:vAlign w:val="center"/>
            <w:hideMark/>
          </w:tcPr>
          <w:p w14:paraId="6ECD563E" w14:textId="77777777" w:rsidR="003D07FE" w:rsidRPr="003D07FE" w:rsidRDefault="003D07FE" w:rsidP="003D07FE">
            <w:pPr>
              <w:pStyle w:val="TableParagraph"/>
            </w:pPr>
            <w:r w:rsidRPr="003D07FE">
              <w:t>Incompatibilidade técnica</w:t>
            </w:r>
          </w:p>
        </w:tc>
        <w:tc>
          <w:tcPr>
            <w:tcW w:w="1580" w:type="dxa"/>
            <w:vAlign w:val="center"/>
            <w:hideMark/>
          </w:tcPr>
          <w:p w14:paraId="567277B7" w14:textId="77777777" w:rsidR="003D07FE" w:rsidRPr="003D07FE" w:rsidRDefault="003D07FE" w:rsidP="003D07FE">
            <w:pPr>
              <w:pStyle w:val="TableParagraph"/>
            </w:pPr>
            <w:r w:rsidRPr="003D07FE">
              <w:t>Retrabalho e inconsistência de dados</w:t>
            </w:r>
          </w:p>
        </w:tc>
        <w:tc>
          <w:tcPr>
            <w:tcW w:w="574" w:type="dxa"/>
            <w:vAlign w:val="center"/>
            <w:hideMark/>
          </w:tcPr>
          <w:p w14:paraId="0067969A" w14:textId="77777777" w:rsidR="003D07FE" w:rsidRPr="003D07FE" w:rsidRDefault="003D07FE" w:rsidP="003D07FE">
            <w:pPr>
              <w:pStyle w:val="TableParagraph"/>
            </w:pPr>
            <w:r w:rsidRPr="003D07FE">
              <w:t>Baixa</w:t>
            </w:r>
          </w:p>
        </w:tc>
        <w:tc>
          <w:tcPr>
            <w:tcW w:w="1094" w:type="dxa"/>
            <w:vAlign w:val="center"/>
            <w:hideMark/>
          </w:tcPr>
          <w:p w14:paraId="210953BC" w14:textId="77777777" w:rsidR="003D07FE" w:rsidRPr="003D07FE" w:rsidRDefault="003D07FE" w:rsidP="003D07FE">
            <w:pPr>
              <w:pStyle w:val="TableParagraph"/>
            </w:pPr>
            <w:r w:rsidRPr="003D07FE">
              <w:t>Moderado</w:t>
            </w:r>
          </w:p>
        </w:tc>
        <w:tc>
          <w:tcPr>
            <w:tcW w:w="585" w:type="dxa"/>
            <w:vAlign w:val="center"/>
            <w:hideMark/>
          </w:tcPr>
          <w:p w14:paraId="7DDE1934" w14:textId="77777777" w:rsidR="003D07FE" w:rsidRPr="003D07FE" w:rsidRDefault="003D07FE" w:rsidP="003D07FE">
            <w:pPr>
              <w:pStyle w:val="TableParagraph"/>
            </w:pPr>
            <w:r w:rsidRPr="003D07FE">
              <w:t>Médio</w:t>
            </w:r>
          </w:p>
        </w:tc>
        <w:tc>
          <w:tcPr>
            <w:tcW w:w="1175" w:type="dxa"/>
            <w:vAlign w:val="center"/>
            <w:hideMark/>
          </w:tcPr>
          <w:p w14:paraId="4C79DA2C" w14:textId="77777777" w:rsidR="003D07FE" w:rsidRPr="003D07FE" w:rsidRDefault="003D07FE" w:rsidP="003D07FE">
            <w:pPr>
              <w:pStyle w:val="TableParagraph"/>
            </w:pPr>
            <w:r w:rsidRPr="003D07FE">
              <w:t>Exigir integração nativa entre módulos</w:t>
            </w:r>
          </w:p>
        </w:tc>
        <w:tc>
          <w:tcPr>
            <w:tcW w:w="1242" w:type="dxa"/>
            <w:vAlign w:val="center"/>
            <w:hideMark/>
          </w:tcPr>
          <w:p w14:paraId="79B3B49B" w14:textId="77777777" w:rsidR="003D07FE" w:rsidRPr="003D07FE" w:rsidRDefault="003D07FE" w:rsidP="003D07FE">
            <w:pPr>
              <w:pStyle w:val="TableParagraph"/>
            </w:pPr>
            <w:r w:rsidRPr="003D07FE">
              <w:t>Contratada</w:t>
            </w:r>
          </w:p>
        </w:tc>
        <w:tc>
          <w:tcPr>
            <w:tcW w:w="1463" w:type="dxa"/>
            <w:vAlign w:val="center"/>
            <w:hideMark/>
          </w:tcPr>
          <w:p w14:paraId="7E248A5A" w14:textId="77777777" w:rsidR="003D07FE" w:rsidRPr="003D07FE" w:rsidRDefault="003D07FE" w:rsidP="003D07FE">
            <w:pPr>
              <w:pStyle w:val="TableParagraph"/>
            </w:pPr>
            <w:r w:rsidRPr="003D07FE">
              <w:t>Inconsistência recorrente</w:t>
            </w:r>
          </w:p>
        </w:tc>
        <w:tc>
          <w:tcPr>
            <w:tcW w:w="1199" w:type="dxa"/>
            <w:vAlign w:val="center"/>
            <w:hideMark/>
          </w:tcPr>
          <w:p w14:paraId="5ADC9C33" w14:textId="77777777" w:rsidR="003D07FE" w:rsidRPr="003D07FE" w:rsidRDefault="003D07FE" w:rsidP="003D07FE">
            <w:pPr>
              <w:pStyle w:val="TableParagraph"/>
            </w:pPr>
            <w:r w:rsidRPr="003D07FE">
              <w:t>Ajustes técnicos e correções</w:t>
            </w:r>
          </w:p>
        </w:tc>
        <w:tc>
          <w:tcPr>
            <w:tcW w:w="1265" w:type="dxa"/>
            <w:vAlign w:val="center"/>
            <w:hideMark/>
          </w:tcPr>
          <w:p w14:paraId="5C6133F5" w14:textId="77777777" w:rsidR="003D07FE" w:rsidRPr="003D07FE" w:rsidRDefault="003D07FE" w:rsidP="003D07FE">
            <w:pPr>
              <w:pStyle w:val="TableParagraph"/>
            </w:pPr>
            <w:r w:rsidRPr="003D07FE">
              <w:t>Contratada</w:t>
            </w:r>
          </w:p>
        </w:tc>
      </w:tr>
      <w:tr w:rsidR="003D07FE" w:rsidRPr="003D07FE" w14:paraId="5911EE32" w14:textId="77777777" w:rsidTr="003D07FE">
        <w:trPr>
          <w:tblCellSpacing w:w="15" w:type="dxa"/>
        </w:trPr>
        <w:tc>
          <w:tcPr>
            <w:tcW w:w="517" w:type="dxa"/>
            <w:vAlign w:val="center"/>
            <w:hideMark/>
          </w:tcPr>
          <w:p w14:paraId="2FBD28AF" w14:textId="77777777" w:rsidR="003D07FE" w:rsidRPr="003D07FE" w:rsidRDefault="003D07FE" w:rsidP="003D07FE">
            <w:pPr>
              <w:pStyle w:val="TableParagraph"/>
            </w:pPr>
            <w:r w:rsidRPr="003D07FE">
              <w:t>R06</w:t>
            </w:r>
          </w:p>
        </w:tc>
        <w:tc>
          <w:tcPr>
            <w:tcW w:w="1340" w:type="dxa"/>
            <w:vAlign w:val="center"/>
            <w:hideMark/>
          </w:tcPr>
          <w:p w14:paraId="06CE9965" w14:textId="77777777" w:rsidR="003D07FE" w:rsidRPr="003D07FE" w:rsidRDefault="003D07FE" w:rsidP="003D07FE">
            <w:pPr>
              <w:pStyle w:val="TableParagraph"/>
            </w:pPr>
            <w:r w:rsidRPr="003D07FE">
              <w:t>Capacitação insuficiente dos usuários</w:t>
            </w:r>
          </w:p>
        </w:tc>
        <w:tc>
          <w:tcPr>
            <w:tcW w:w="1520" w:type="dxa"/>
            <w:vAlign w:val="center"/>
            <w:hideMark/>
          </w:tcPr>
          <w:p w14:paraId="3EDF66AC" w14:textId="77777777" w:rsidR="003D07FE" w:rsidRPr="003D07FE" w:rsidRDefault="003D07FE" w:rsidP="003D07FE">
            <w:pPr>
              <w:pStyle w:val="TableParagraph"/>
            </w:pPr>
            <w:r w:rsidRPr="003D07FE">
              <w:t>Falta de treinamento adequado</w:t>
            </w:r>
          </w:p>
        </w:tc>
        <w:tc>
          <w:tcPr>
            <w:tcW w:w="1580" w:type="dxa"/>
            <w:vAlign w:val="center"/>
            <w:hideMark/>
          </w:tcPr>
          <w:p w14:paraId="1B72AA0E" w14:textId="77777777" w:rsidR="003D07FE" w:rsidRPr="003D07FE" w:rsidRDefault="003D07FE" w:rsidP="003D07FE">
            <w:pPr>
              <w:pStyle w:val="TableParagraph"/>
            </w:pPr>
            <w:r w:rsidRPr="003D07FE">
              <w:t>Uso inadequado do sistema</w:t>
            </w:r>
          </w:p>
        </w:tc>
        <w:tc>
          <w:tcPr>
            <w:tcW w:w="574" w:type="dxa"/>
            <w:vAlign w:val="center"/>
            <w:hideMark/>
          </w:tcPr>
          <w:p w14:paraId="18F29F33" w14:textId="77777777" w:rsidR="003D07FE" w:rsidRPr="003D07FE" w:rsidRDefault="003D07FE" w:rsidP="003D07FE">
            <w:pPr>
              <w:pStyle w:val="TableParagraph"/>
            </w:pPr>
            <w:r w:rsidRPr="003D07FE">
              <w:t>Média</w:t>
            </w:r>
          </w:p>
        </w:tc>
        <w:tc>
          <w:tcPr>
            <w:tcW w:w="1094" w:type="dxa"/>
            <w:vAlign w:val="center"/>
            <w:hideMark/>
          </w:tcPr>
          <w:p w14:paraId="2ED21F46" w14:textId="77777777" w:rsidR="003D07FE" w:rsidRPr="003D07FE" w:rsidRDefault="003D07FE" w:rsidP="003D07FE">
            <w:pPr>
              <w:pStyle w:val="TableParagraph"/>
            </w:pPr>
            <w:r w:rsidRPr="003D07FE">
              <w:t>Moderado</w:t>
            </w:r>
          </w:p>
        </w:tc>
        <w:tc>
          <w:tcPr>
            <w:tcW w:w="585" w:type="dxa"/>
            <w:vAlign w:val="center"/>
            <w:hideMark/>
          </w:tcPr>
          <w:p w14:paraId="4E069FAA" w14:textId="77777777" w:rsidR="003D07FE" w:rsidRPr="003D07FE" w:rsidRDefault="003D07FE" w:rsidP="003D07FE">
            <w:pPr>
              <w:pStyle w:val="TableParagraph"/>
            </w:pPr>
            <w:r w:rsidRPr="003D07FE">
              <w:t>Médio</w:t>
            </w:r>
          </w:p>
        </w:tc>
        <w:tc>
          <w:tcPr>
            <w:tcW w:w="1175" w:type="dxa"/>
            <w:vAlign w:val="center"/>
            <w:hideMark/>
          </w:tcPr>
          <w:p w14:paraId="6F28116D" w14:textId="2356F6A6" w:rsidR="003D07FE" w:rsidRPr="003D07FE" w:rsidRDefault="00B273E8" w:rsidP="003D07FE">
            <w:pPr>
              <w:pStyle w:val="TableParagraph"/>
            </w:pPr>
            <w:r w:rsidRPr="00B273E8">
              <w:rPr>
                <w:lang w:val="zh-CN"/>
              </w:rPr>
              <w:t xml:space="preserve">Prever treinamento inicial, capacitação continuada </w:t>
            </w:r>
            <w:r w:rsidRPr="00B273E8">
              <w:rPr>
                <w:lang w:val="zh-CN"/>
              </w:rPr>
              <w:lastRenderedPageBreak/>
              <w:t>e disponibilização de materiais de apoio e suporte aos usuários</w:t>
            </w:r>
          </w:p>
        </w:tc>
        <w:tc>
          <w:tcPr>
            <w:tcW w:w="1242" w:type="dxa"/>
            <w:vAlign w:val="center"/>
            <w:hideMark/>
          </w:tcPr>
          <w:p w14:paraId="6F31662D" w14:textId="77777777" w:rsidR="003D07FE" w:rsidRPr="003D07FE" w:rsidRDefault="003D07FE" w:rsidP="003D07FE">
            <w:pPr>
              <w:pStyle w:val="TableParagraph"/>
            </w:pPr>
            <w:r w:rsidRPr="003D07FE">
              <w:lastRenderedPageBreak/>
              <w:t>Administração</w:t>
            </w:r>
          </w:p>
        </w:tc>
        <w:tc>
          <w:tcPr>
            <w:tcW w:w="1463" w:type="dxa"/>
            <w:vAlign w:val="center"/>
            <w:hideMark/>
          </w:tcPr>
          <w:p w14:paraId="5529B59F" w14:textId="77777777" w:rsidR="003D07FE" w:rsidRPr="003D07FE" w:rsidRDefault="003D07FE" w:rsidP="003D07FE">
            <w:pPr>
              <w:pStyle w:val="TableParagraph"/>
            </w:pPr>
            <w:r w:rsidRPr="003D07FE">
              <w:t>Erros operacionais recorrentes</w:t>
            </w:r>
          </w:p>
        </w:tc>
        <w:tc>
          <w:tcPr>
            <w:tcW w:w="1199" w:type="dxa"/>
            <w:vAlign w:val="center"/>
            <w:hideMark/>
          </w:tcPr>
          <w:p w14:paraId="3C29768B" w14:textId="77777777" w:rsidR="003D07FE" w:rsidRPr="003D07FE" w:rsidRDefault="003D07FE" w:rsidP="003D07FE">
            <w:pPr>
              <w:pStyle w:val="TableParagraph"/>
            </w:pPr>
            <w:r w:rsidRPr="003D07FE">
              <w:t>Reforço de capacitação</w:t>
            </w:r>
          </w:p>
        </w:tc>
        <w:tc>
          <w:tcPr>
            <w:tcW w:w="1265" w:type="dxa"/>
            <w:vAlign w:val="center"/>
            <w:hideMark/>
          </w:tcPr>
          <w:p w14:paraId="1DB58DE9" w14:textId="77777777" w:rsidR="003D07FE" w:rsidRPr="003D07FE" w:rsidRDefault="003D07FE" w:rsidP="003D07FE">
            <w:pPr>
              <w:pStyle w:val="TableParagraph"/>
            </w:pPr>
            <w:r w:rsidRPr="003D07FE">
              <w:t>Administração</w:t>
            </w:r>
          </w:p>
        </w:tc>
      </w:tr>
      <w:tr w:rsidR="003D07FE" w:rsidRPr="003D07FE" w14:paraId="0A771369" w14:textId="77777777" w:rsidTr="003D07FE">
        <w:trPr>
          <w:tblCellSpacing w:w="15" w:type="dxa"/>
        </w:trPr>
        <w:tc>
          <w:tcPr>
            <w:tcW w:w="517" w:type="dxa"/>
            <w:vAlign w:val="center"/>
            <w:hideMark/>
          </w:tcPr>
          <w:p w14:paraId="1FEBEA1A" w14:textId="77777777" w:rsidR="003D07FE" w:rsidRPr="003D07FE" w:rsidRDefault="003D07FE" w:rsidP="003D07FE">
            <w:pPr>
              <w:pStyle w:val="TableParagraph"/>
            </w:pPr>
            <w:r w:rsidRPr="003D07FE">
              <w:t>R07</w:t>
            </w:r>
          </w:p>
        </w:tc>
        <w:tc>
          <w:tcPr>
            <w:tcW w:w="1340" w:type="dxa"/>
            <w:vAlign w:val="center"/>
            <w:hideMark/>
          </w:tcPr>
          <w:p w14:paraId="3880BD8A" w14:textId="77777777" w:rsidR="003D07FE" w:rsidRPr="003D07FE" w:rsidRDefault="003D07FE" w:rsidP="003D07FE">
            <w:pPr>
              <w:pStyle w:val="TableParagraph"/>
            </w:pPr>
            <w:r w:rsidRPr="003D07FE">
              <w:t>Atraso na implantação do sistema</w:t>
            </w:r>
          </w:p>
        </w:tc>
        <w:tc>
          <w:tcPr>
            <w:tcW w:w="1520" w:type="dxa"/>
            <w:vAlign w:val="center"/>
            <w:hideMark/>
          </w:tcPr>
          <w:p w14:paraId="3DF425A8" w14:textId="77777777" w:rsidR="003D07FE" w:rsidRPr="003D07FE" w:rsidRDefault="003D07FE" w:rsidP="003D07FE">
            <w:pPr>
              <w:pStyle w:val="TableParagraph"/>
            </w:pPr>
            <w:r w:rsidRPr="003D07FE">
              <w:t>Planejamento inadequado</w:t>
            </w:r>
          </w:p>
        </w:tc>
        <w:tc>
          <w:tcPr>
            <w:tcW w:w="1580" w:type="dxa"/>
            <w:vAlign w:val="center"/>
            <w:hideMark/>
          </w:tcPr>
          <w:p w14:paraId="5A5585A8" w14:textId="77777777" w:rsidR="003D07FE" w:rsidRPr="003D07FE" w:rsidRDefault="003D07FE" w:rsidP="003D07FE">
            <w:pPr>
              <w:pStyle w:val="TableParagraph"/>
            </w:pPr>
            <w:r w:rsidRPr="003D07FE">
              <w:t>Comprometimento da transição contratual</w:t>
            </w:r>
          </w:p>
        </w:tc>
        <w:tc>
          <w:tcPr>
            <w:tcW w:w="574" w:type="dxa"/>
            <w:vAlign w:val="center"/>
            <w:hideMark/>
          </w:tcPr>
          <w:p w14:paraId="1DF55FE4" w14:textId="77777777" w:rsidR="003D07FE" w:rsidRPr="003D07FE" w:rsidRDefault="003D07FE" w:rsidP="003D07FE">
            <w:pPr>
              <w:pStyle w:val="TableParagraph"/>
            </w:pPr>
            <w:r w:rsidRPr="003D07FE">
              <w:t>Baixa</w:t>
            </w:r>
          </w:p>
        </w:tc>
        <w:tc>
          <w:tcPr>
            <w:tcW w:w="1094" w:type="dxa"/>
            <w:vAlign w:val="center"/>
            <w:hideMark/>
          </w:tcPr>
          <w:p w14:paraId="696C69D8" w14:textId="77777777" w:rsidR="003D07FE" w:rsidRPr="003D07FE" w:rsidRDefault="003D07FE" w:rsidP="003D07FE">
            <w:pPr>
              <w:pStyle w:val="TableParagraph"/>
            </w:pPr>
            <w:r w:rsidRPr="003D07FE">
              <w:t>Significativo</w:t>
            </w:r>
          </w:p>
        </w:tc>
        <w:tc>
          <w:tcPr>
            <w:tcW w:w="585" w:type="dxa"/>
            <w:vAlign w:val="center"/>
            <w:hideMark/>
          </w:tcPr>
          <w:p w14:paraId="7F257043" w14:textId="77777777" w:rsidR="003D07FE" w:rsidRPr="003D07FE" w:rsidRDefault="003D07FE" w:rsidP="003D07FE">
            <w:pPr>
              <w:pStyle w:val="TableParagraph"/>
            </w:pPr>
            <w:r w:rsidRPr="003D07FE">
              <w:t>Médio</w:t>
            </w:r>
          </w:p>
        </w:tc>
        <w:tc>
          <w:tcPr>
            <w:tcW w:w="1175" w:type="dxa"/>
            <w:vAlign w:val="center"/>
            <w:hideMark/>
          </w:tcPr>
          <w:p w14:paraId="5A50B0A6" w14:textId="77777777" w:rsidR="003D07FE" w:rsidRPr="003D07FE" w:rsidRDefault="003D07FE" w:rsidP="003D07FE">
            <w:pPr>
              <w:pStyle w:val="TableParagraph"/>
            </w:pPr>
            <w:r w:rsidRPr="003D07FE">
              <w:t>Exigir cronograma detalhado</w:t>
            </w:r>
          </w:p>
        </w:tc>
        <w:tc>
          <w:tcPr>
            <w:tcW w:w="1242" w:type="dxa"/>
            <w:vAlign w:val="center"/>
            <w:hideMark/>
          </w:tcPr>
          <w:p w14:paraId="6495C950" w14:textId="77777777" w:rsidR="003D07FE" w:rsidRPr="003D07FE" w:rsidRDefault="003D07FE" w:rsidP="003D07FE">
            <w:pPr>
              <w:pStyle w:val="TableParagraph"/>
            </w:pPr>
            <w:r w:rsidRPr="003D07FE">
              <w:t>Contratada</w:t>
            </w:r>
          </w:p>
        </w:tc>
        <w:tc>
          <w:tcPr>
            <w:tcW w:w="1463" w:type="dxa"/>
            <w:vAlign w:val="center"/>
            <w:hideMark/>
          </w:tcPr>
          <w:p w14:paraId="6158E950" w14:textId="77777777" w:rsidR="003D07FE" w:rsidRPr="003D07FE" w:rsidRDefault="003D07FE" w:rsidP="003D07FE">
            <w:pPr>
              <w:pStyle w:val="TableParagraph"/>
            </w:pPr>
            <w:r w:rsidRPr="003D07FE">
              <w:t>Atraso &gt; 5 dias úteis</w:t>
            </w:r>
          </w:p>
        </w:tc>
        <w:tc>
          <w:tcPr>
            <w:tcW w:w="1199" w:type="dxa"/>
            <w:vAlign w:val="center"/>
            <w:hideMark/>
          </w:tcPr>
          <w:p w14:paraId="2AFB8771" w14:textId="77777777" w:rsidR="003D07FE" w:rsidRPr="003D07FE" w:rsidRDefault="003D07FE" w:rsidP="003D07FE">
            <w:pPr>
              <w:pStyle w:val="TableParagraph"/>
            </w:pPr>
            <w:r w:rsidRPr="003D07FE">
              <w:t>Aplicação de sanções</w:t>
            </w:r>
          </w:p>
        </w:tc>
        <w:tc>
          <w:tcPr>
            <w:tcW w:w="1265" w:type="dxa"/>
            <w:vAlign w:val="center"/>
            <w:hideMark/>
          </w:tcPr>
          <w:p w14:paraId="0E87CAAD" w14:textId="77777777" w:rsidR="003D07FE" w:rsidRPr="003D07FE" w:rsidRDefault="003D07FE" w:rsidP="003D07FE">
            <w:pPr>
              <w:pStyle w:val="TableParagraph"/>
            </w:pPr>
            <w:r w:rsidRPr="003D07FE">
              <w:t>Contratada</w:t>
            </w:r>
          </w:p>
        </w:tc>
      </w:tr>
      <w:tr w:rsidR="003D07FE" w:rsidRPr="003D07FE" w14:paraId="2A48B361" w14:textId="77777777" w:rsidTr="003D07FE">
        <w:trPr>
          <w:tblCellSpacing w:w="15" w:type="dxa"/>
        </w:trPr>
        <w:tc>
          <w:tcPr>
            <w:tcW w:w="517" w:type="dxa"/>
            <w:vAlign w:val="center"/>
            <w:hideMark/>
          </w:tcPr>
          <w:p w14:paraId="15305E57" w14:textId="77777777" w:rsidR="003D07FE" w:rsidRPr="003D07FE" w:rsidRDefault="003D07FE" w:rsidP="003D07FE">
            <w:pPr>
              <w:pStyle w:val="TableParagraph"/>
            </w:pPr>
            <w:r w:rsidRPr="003D07FE">
              <w:t>R08</w:t>
            </w:r>
          </w:p>
        </w:tc>
        <w:tc>
          <w:tcPr>
            <w:tcW w:w="1340" w:type="dxa"/>
            <w:vAlign w:val="center"/>
            <w:hideMark/>
          </w:tcPr>
          <w:p w14:paraId="7B9FF61C" w14:textId="77777777" w:rsidR="003D07FE" w:rsidRPr="003D07FE" w:rsidRDefault="003D07FE" w:rsidP="003D07FE">
            <w:pPr>
              <w:pStyle w:val="TableParagraph"/>
            </w:pPr>
            <w:r w:rsidRPr="003D07FE">
              <w:t>Indisponibilidade de internet</w:t>
            </w:r>
          </w:p>
        </w:tc>
        <w:tc>
          <w:tcPr>
            <w:tcW w:w="1520" w:type="dxa"/>
            <w:vAlign w:val="center"/>
            <w:hideMark/>
          </w:tcPr>
          <w:p w14:paraId="42B18D74" w14:textId="77777777" w:rsidR="003D07FE" w:rsidRPr="003D07FE" w:rsidRDefault="003D07FE" w:rsidP="003D07FE">
            <w:pPr>
              <w:pStyle w:val="TableParagraph"/>
            </w:pPr>
            <w:r w:rsidRPr="003D07FE">
              <w:t>Falhas externas à contratação</w:t>
            </w:r>
          </w:p>
        </w:tc>
        <w:tc>
          <w:tcPr>
            <w:tcW w:w="1580" w:type="dxa"/>
            <w:vAlign w:val="center"/>
            <w:hideMark/>
          </w:tcPr>
          <w:p w14:paraId="308C6998" w14:textId="77777777" w:rsidR="003D07FE" w:rsidRPr="003D07FE" w:rsidRDefault="003D07FE" w:rsidP="003D07FE">
            <w:pPr>
              <w:pStyle w:val="TableParagraph"/>
            </w:pPr>
            <w:r w:rsidRPr="003D07FE">
              <w:t>Acesso interrompido ao sistema</w:t>
            </w:r>
          </w:p>
        </w:tc>
        <w:tc>
          <w:tcPr>
            <w:tcW w:w="574" w:type="dxa"/>
            <w:vAlign w:val="center"/>
            <w:hideMark/>
          </w:tcPr>
          <w:p w14:paraId="15BBA684" w14:textId="77777777" w:rsidR="003D07FE" w:rsidRPr="003D07FE" w:rsidRDefault="003D07FE" w:rsidP="003D07FE">
            <w:pPr>
              <w:pStyle w:val="TableParagraph"/>
            </w:pPr>
            <w:r w:rsidRPr="003D07FE">
              <w:t>Média</w:t>
            </w:r>
          </w:p>
        </w:tc>
        <w:tc>
          <w:tcPr>
            <w:tcW w:w="1094" w:type="dxa"/>
            <w:vAlign w:val="center"/>
            <w:hideMark/>
          </w:tcPr>
          <w:p w14:paraId="5AEFD591" w14:textId="77777777" w:rsidR="003D07FE" w:rsidRPr="003D07FE" w:rsidRDefault="003D07FE" w:rsidP="003D07FE">
            <w:pPr>
              <w:pStyle w:val="TableParagraph"/>
            </w:pPr>
            <w:r w:rsidRPr="003D07FE">
              <w:t>Moderado</w:t>
            </w:r>
          </w:p>
        </w:tc>
        <w:tc>
          <w:tcPr>
            <w:tcW w:w="585" w:type="dxa"/>
            <w:vAlign w:val="center"/>
            <w:hideMark/>
          </w:tcPr>
          <w:p w14:paraId="3DE0FDAF" w14:textId="77777777" w:rsidR="003D07FE" w:rsidRPr="003D07FE" w:rsidRDefault="003D07FE" w:rsidP="003D07FE">
            <w:pPr>
              <w:pStyle w:val="TableParagraph"/>
            </w:pPr>
            <w:r w:rsidRPr="003D07FE">
              <w:t>Médio</w:t>
            </w:r>
          </w:p>
        </w:tc>
        <w:tc>
          <w:tcPr>
            <w:tcW w:w="1175" w:type="dxa"/>
            <w:vAlign w:val="center"/>
            <w:hideMark/>
          </w:tcPr>
          <w:p w14:paraId="7B70EC86" w14:textId="77777777" w:rsidR="003D07FE" w:rsidRPr="003D07FE" w:rsidRDefault="003D07FE" w:rsidP="003D07FE">
            <w:pPr>
              <w:pStyle w:val="TableParagraph"/>
            </w:pPr>
            <w:r w:rsidRPr="003D07FE">
              <w:t>Infraestrutura de internet redundante</w:t>
            </w:r>
          </w:p>
        </w:tc>
        <w:tc>
          <w:tcPr>
            <w:tcW w:w="1242" w:type="dxa"/>
            <w:vAlign w:val="center"/>
            <w:hideMark/>
          </w:tcPr>
          <w:p w14:paraId="362EDB99" w14:textId="77777777" w:rsidR="003D07FE" w:rsidRPr="003D07FE" w:rsidRDefault="003D07FE" w:rsidP="003D07FE">
            <w:pPr>
              <w:pStyle w:val="TableParagraph"/>
            </w:pPr>
            <w:r w:rsidRPr="003D07FE">
              <w:t>Administração</w:t>
            </w:r>
          </w:p>
        </w:tc>
        <w:tc>
          <w:tcPr>
            <w:tcW w:w="1463" w:type="dxa"/>
            <w:vAlign w:val="center"/>
            <w:hideMark/>
          </w:tcPr>
          <w:p w14:paraId="3EAB4D6E" w14:textId="77777777" w:rsidR="003D07FE" w:rsidRPr="003D07FE" w:rsidRDefault="003D07FE" w:rsidP="003D07FE">
            <w:pPr>
              <w:pStyle w:val="TableParagraph"/>
            </w:pPr>
            <w:r w:rsidRPr="003D07FE">
              <w:t>Queda prolongada</w:t>
            </w:r>
          </w:p>
        </w:tc>
        <w:tc>
          <w:tcPr>
            <w:tcW w:w="1199" w:type="dxa"/>
            <w:vAlign w:val="center"/>
            <w:hideMark/>
          </w:tcPr>
          <w:p w14:paraId="4CC64E6D" w14:textId="77777777" w:rsidR="003D07FE" w:rsidRPr="003D07FE" w:rsidRDefault="003D07FE" w:rsidP="003D07FE">
            <w:pPr>
              <w:pStyle w:val="TableParagraph"/>
            </w:pPr>
            <w:r w:rsidRPr="003D07FE">
              <w:t>Uso de links alternativos</w:t>
            </w:r>
          </w:p>
        </w:tc>
        <w:tc>
          <w:tcPr>
            <w:tcW w:w="1265" w:type="dxa"/>
            <w:vAlign w:val="center"/>
            <w:hideMark/>
          </w:tcPr>
          <w:p w14:paraId="6EBB80CA" w14:textId="77777777" w:rsidR="003D07FE" w:rsidRPr="003D07FE" w:rsidRDefault="003D07FE" w:rsidP="003D07FE">
            <w:pPr>
              <w:pStyle w:val="TableParagraph"/>
            </w:pPr>
            <w:r w:rsidRPr="003D07FE">
              <w:t>Administração</w:t>
            </w:r>
          </w:p>
        </w:tc>
      </w:tr>
      <w:tr w:rsidR="003D07FE" w:rsidRPr="003D07FE" w14:paraId="4C6FBB77" w14:textId="77777777" w:rsidTr="003D07FE">
        <w:trPr>
          <w:tblCellSpacing w:w="15" w:type="dxa"/>
        </w:trPr>
        <w:tc>
          <w:tcPr>
            <w:tcW w:w="517" w:type="dxa"/>
            <w:vAlign w:val="center"/>
            <w:hideMark/>
          </w:tcPr>
          <w:p w14:paraId="42165C97" w14:textId="77777777" w:rsidR="003D07FE" w:rsidRPr="003D07FE" w:rsidRDefault="003D07FE" w:rsidP="003D07FE">
            <w:pPr>
              <w:pStyle w:val="TableParagraph"/>
            </w:pPr>
            <w:r w:rsidRPr="003D07FE">
              <w:t>R09</w:t>
            </w:r>
          </w:p>
        </w:tc>
        <w:tc>
          <w:tcPr>
            <w:tcW w:w="1340" w:type="dxa"/>
            <w:vAlign w:val="center"/>
            <w:hideMark/>
          </w:tcPr>
          <w:p w14:paraId="6EEAEA37" w14:textId="77777777" w:rsidR="003D07FE" w:rsidRPr="003D07FE" w:rsidRDefault="003D07FE" w:rsidP="003D07FE">
            <w:pPr>
              <w:pStyle w:val="TableParagraph"/>
            </w:pPr>
            <w:r w:rsidRPr="003D07FE">
              <w:t xml:space="preserve">Encerramento das </w:t>
            </w:r>
            <w:r w:rsidRPr="003D07FE">
              <w:lastRenderedPageBreak/>
              <w:t>atividades do fornecedor</w:t>
            </w:r>
          </w:p>
        </w:tc>
        <w:tc>
          <w:tcPr>
            <w:tcW w:w="1520" w:type="dxa"/>
            <w:vAlign w:val="center"/>
            <w:hideMark/>
          </w:tcPr>
          <w:p w14:paraId="45282642" w14:textId="77777777" w:rsidR="003D07FE" w:rsidRPr="003D07FE" w:rsidRDefault="003D07FE" w:rsidP="003D07FE">
            <w:pPr>
              <w:pStyle w:val="TableParagraph"/>
            </w:pPr>
            <w:r w:rsidRPr="003D07FE">
              <w:lastRenderedPageBreak/>
              <w:t xml:space="preserve">Problemas financeiros da </w:t>
            </w:r>
            <w:r w:rsidRPr="003D07FE">
              <w:lastRenderedPageBreak/>
              <w:t>empresa</w:t>
            </w:r>
          </w:p>
        </w:tc>
        <w:tc>
          <w:tcPr>
            <w:tcW w:w="1580" w:type="dxa"/>
            <w:vAlign w:val="center"/>
            <w:hideMark/>
          </w:tcPr>
          <w:p w14:paraId="30508992" w14:textId="77777777" w:rsidR="003D07FE" w:rsidRPr="003D07FE" w:rsidRDefault="003D07FE" w:rsidP="003D07FE">
            <w:pPr>
              <w:pStyle w:val="TableParagraph"/>
            </w:pPr>
            <w:r w:rsidRPr="003D07FE">
              <w:lastRenderedPageBreak/>
              <w:t>Descontinuidade do serviço</w:t>
            </w:r>
          </w:p>
        </w:tc>
        <w:tc>
          <w:tcPr>
            <w:tcW w:w="574" w:type="dxa"/>
            <w:vAlign w:val="center"/>
            <w:hideMark/>
          </w:tcPr>
          <w:p w14:paraId="1CBA667B" w14:textId="77777777" w:rsidR="003D07FE" w:rsidRPr="003D07FE" w:rsidRDefault="003D07FE" w:rsidP="003D07FE">
            <w:pPr>
              <w:pStyle w:val="TableParagraph"/>
            </w:pPr>
            <w:r w:rsidRPr="003D07FE">
              <w:t>Baixa</w:t>
            </w:r>
          </w:p>
        </w:tc>
        <w:tc>
          <w:tcPr>
            <w:tcW w:w="1094" w:type="dxa"/>
            <w:vAlign w:val="center"/>
            <w:hideMark/>
          </w:tcPr>
          <w:p w14:paraId="35FA3841" w14:textId="77777777" w:rsidR="003D07FE" w:rsidRPr="003D07FE" w:rsidRDefault="003D07FE" w:rsidP="003D07FE">
            <w:pPr>
              <w:pStyle w:val="TableParagraph"/>
            </w:pPr>
            <w:r w:rsidRPr="003D07FE">
              <w:t>Crítico</w:t>
            </w:r>
          </w:p>
        </w:tc>
        <w:tc>
          <w:tcPr>
            <w:tcW w:w="585" w:type="dxa"/>
            <w:vAlign w:val="center"/>
            <w:hideMark/>
          </w:tcPr>
          <w:p w14:paraId="5B4CD899" w14:textId="77777777" w:rsidR="003D07FE" w:rsidRPr="003D07FE" w:rsidRDefault="003D07FE" w:rsidP="003D07FE">
            <w:pPr>
              <w:pStyle w:val="TableParagraph"/>
            </w:pPr>
            <w:r w:rsidRPr="003D07FE">
              <w:t>Alto</w:t>
            </w:r>
          </w:p>
        </w:tc>
        <w:tc>
          <w:tcPr>
            <w:tcW w:w="1175" w:type="dxa"/>
            <w:vAlign w:val="center"/>
            <w:hideMark/>
          </w:tcPr>
          <w:p w14:paraId="2E1E4E42" w14:textId="5993B013" w:rsidR="003D07FE" w:rsidRPr="003D07FE" w:rsidRDefault="00B273E8" w:rsidP="003D07FE">
            <w:pPr>
              <w:pStyle w:val="TableParagraph"/>
            </w:pPr>
            <w:r w:rsidRPr="00B273E8">
              <w:rPr>
                <w:lang w:val="zh-CN"/>
              </w:rPr>
              <w:t xml:space="preserve">Exigir plano de </w:t>
            </w:r>
            <w:r w:rsidRPr="00B273E8">
              <w:rPr>
                <w:lang w:val="zh-CN"/>
              </w:rPr>
              <w:lastRenderedPageBreak/>
              <w:t>continuidade do negócio, portabilidade integral dos dados e mecanismos de reversibilidade da solução</w:t>
            </w:r>
          </w:p>
        </w:tc>
        <w:tc>
          <w:tcPr>
            <w:tcW w:w="1242" w:type="dxa"/>
            <w:vAlign w:val="center"/>
            <w:hideMark/>
          </w:tcPr>
          <w:p w14:paraId="5BAD0A4C" w14:textId="77777777" w:rsidR="003D07FE" w:rsidRPr="003D07FE" w:rsidRDefault="003D07FE" w:rsidP="003D07FE">
            <w:pPr>
              <w:pStyle w:val="TableParagraph"/>
            </w:pPr>
            <w:r w:rsidRPr="003D07FE">
              <w:lastRenderedPageBreak/>
              <w:t>Administração</w:t>
            </w:r>
          </w:p>
        </w:tc>
        <w:tc>
          <w:tcPr>
            <w:tcW w:w="1463" w:type="dxa"/>
            <w:vAlign w:val="center"/>
            <w:hideMark/>
          </w:tcPr>
          <w:p w14:paraId="1870FB06" w14:textId="77777777" w:rsidR="003D07FE" w:rsidRPr="003D07FE" w:rsidRDefault="003D07FE" w:rsidP="003D07FE">
            <w:pPr>
              <w:pStyle w:val="TableParagraph"/>
            </w:pPr>
            <w:r w:rsidRPr="003D07FE">
              <w:t>Comunicado formal</w:t>
            </w:r>
          </w:p>
        </w:tc>
        <w:tc>
          <w:tcPr>
            <w:tcW w:w="1199" w:type="dxa"/>
            <w:vAlign w:val="center"/>
            <w:hideMark/>
          </w:tcPr>
          <w:p w14:paraId="415AE0DC" w14:textId="77777777" w:rsidR="003D07FE" w:rsidRPr="003D07FE" w:rsidRDefault="003D07FE" w:rsidP="003D07FE">
            <w:pPr>
              <w:pStyle w:val="TableParagraph"/>
            </w:pPr>
            <w:r w:rsidRPr="003D07FE">
              <w:t>Contratação emergencial</w:t>
            </w:r>
          </w:p>
        </w:tc>
        <w:tc>
          <w:tcPr>
            <w:tcW w:w="1265" w:type="dxa"/>
            <w:vAlign w:val="center"/>
            <w:hideMark/>
          </w:tcPr>
          <w:p w14:paraId="56711CEE" w14:textId="77777777" w:rsidR="003D07FE" w:rsidRPr="003D07FE" w:rsidRDefault="003D07FE" w:rsidP="003D07FE">
            <w:pPr>
              <w:pStyle w:val="TableParagraph"/>
            </w:pPr>
            <w:r w:rsidRPr="003D07FE">
              <w:t>Compartilhado</w:t>
            </w:r>
          </w:p>
        </w:tc>
      </w:tr>
      <w:tr w:rsidR="003D07FE" w:rsidRPr="003D07FE" w14:paraId="19157B76" w14:textId="77777777" w:rsidTr="003D07FE">
        <w:trPr>
          <w:tblCellSpacing w:w="15" w:type="dxa"/>
        </w:trPr>
        <w:tc>
          <w:tcPr>
            <w:tcW w:w="517" w:type="dxa"/>
            <w:vAlign w:val="center"/>
            <w:hideMark/>
          </w:tcPr>
          <w:p w14:paraId="7577985F" w14:textId="77777777" w:rsidR="003D07FE" w:rsidRPr="003D07FE" w:rsidRDefault="003D07FE" w:rsidP="003D07FE">
            <w:pPr>
              <w:pStyle w:val="TableParagraph"/>
            </w:pPr>
            <w:r w:rsidRPr="003D07FE">
              <w:t>R10</w:t>
            </w:r>
          </w:p>
        </w:tc>
        <w:tc>
          <w:tcPr>
            <w:tcW w:w="1340" w:type="dxa"/>
            <w:vAlign w:val="center"/>
            <w:hideMark/>
          </w:tcPr>
          <w:p w14:paraId="081D740B" w14:textId="77777777" w:rsidR="003D07FE" w:rsidRPr="003D07FE" w:rsidRDefault="003D07FE" w:rsidP="003D07FE">
            <w:pPr>
              <w:pStyle w:val="TableParagraph"/>
            </w:pPr>
            <w:r w:rsidRPr="003D07FE">
              <w:t>Vazamento de dados pessoais</w:t>
            </w:r>
          </w:p>
        </w:tc>
        <w:tc>
          <w:tcPr>
            <w:tcW w:w="1520" w:type="dxa"/>
            <w:vAlign w:val="center"/>
            <w:hideMark/>
          </w:tcPr>
          <w:p w14:paraId="6CF98377" w14:textId="77777777" w:rsidR="003D07FE" w:rsidRPr="003D07FE" w:rsidRDefault="003D07FE" w:rsidP="003D07FE">
            <w:pPr>
              <w:pStyle w:val="TableParagraph"/>
            </w:pPr>
            <w:r w:rsidRPr="003D07FE">
              <w:t>Falha de segurança ou erro humano</w:t>
            </w:r>
          </w:p>
        </w:tc>
        <w:tc>
          <w:tcPr>
            <w:tcW w:w="1580" w:type="dxa"/>
            <w:vAlign w:val="center"/>
            <w:hideMark/>
          </w:tcPr>
          <w:p w14:paraId="3B355249" w14:textId="77777777" w:rsidR="003D07FE" w:rsidRPr="003D07FE" w:rsidRDefault="003D07FE" w:rsidP="003D07FE">
            <w:pPr>
              <w:pStyle w:val="TableParagraph"/>
            </w:pPr>
            <w:r w:rsidRPr="003D07FE">
              <w:t>Violação à LGPD</w:t>
            </w:r>
          </w:p>
        </w:tc>
        <w:tc>
          <w:tcPr>
            <w:tcW w:w="574" w:type="dxa"/>
            <w:vAlign w:val="center"/>
            <w:hideMark/>
          </w:tcPr>
          <w:p w14:paraId="07A27D49" w14:textId="77777777" w:rsidR="003D07FE" w:rsidRPr="003D07FE" w:rsidRDefault="003D07FE" w:rsidP="003D07FE">
            <w:pPr>
              <w:pStyle w:val="TableParagraph"/>
            </w:pPr>
            <w:r w:rsidRPr="003D07FE">
              <w:t>Baixa</w:t>
            </w:r>
          </w:p>
        </w:tc>
        <w:tc>
          <w:tcPr>
            <w:tcW w:w="1094" w:type="dxa"/>
            <w:vAlign w:val="center"/>
            <w:hideMark/>
          </w:tcPr>
          <w:p w14:paraId="7FAD06EC" w14:textId="77777777" w:rsidR="003D07FE" w:rsidRPr="003D07FE" w:rsidRDefault="003D07FE" w:rsidP="003D07FE">
            <w:pPr>
              <w:pStyle w:val="TableParagraph"/>
            </w:pPr>
            <w:r w:rsidRPr="003D07FE">
              <w:t>Crítico</w:t>
            </w:r>
          </w:p>
        </w:tc>
        <w:tc>
          <w:tcPr>
            <w:tcW w:w="585" w:type="dxa"/>
            <w:vAlign w:val="center"/>
            <w:hideMark/>
          </w:tcPr>
          <w:p w14:paraId="2BEF8EC9" w14:textId="77777777" w:rsidR="003D07FE" w:rsidRPr="003D07FE" w:rsidRDefault="003D07FE" w:rsidP="003D07FE">
            <w:pPr>
              <w:pStyle w:val="TableParagraph"/>
            </w:pPr>
            <w:r w:rsidRPr="003D07FE">
              <w:t>Alto</w:t>
            </w:r>
          </w:p>
        </w:tc>
        <w:tc>
          <w:tcPr>
            <w:tcW w:w="1175" w:type="dxa"/>
            <w:vAlign w:val="center"/>
            <w:hideMark/>
          </w:tcPr>
          <w:p w14:paraId="20458306" w14:textId="77777777" w:rsidR="003D07FE" w:rsidRPr="003D07FE" w:rsidRDefault="003D07FE" w:rsidP="003D07FE">
            <w:pPr>
              <w:pStyle w:val="TableParagraph"/>
            </w:pPr>
            <w:r w:rsidRPr="003D07FE">
              <w:t>Exigir conformidade LGPD e auditoria</w:t>
            </w:r>
          </w:p>
        </w:tc>
        <w:tc>
          <w:tcPr>
            <w:tcW w:w="1242" w:type="dxa"/>
            <w:vAlign w:val="center"/>
            <w:hideMark/>
          </w:tcPr>
          <w:p w14:paraId="25C03407" w14:textId="77777777" w:rsidR="003D07FE" w:rsidRPr="003D07FE" w:rsidRDefault="003D07FE" w:rsidP="003D07FE">
            <w:pPr>
              <w:pStyle w:val="TableParagraph"/>
            </w:pPr>
            <w:r w:rsidRPr="003D07FE">
              <w:t>Contratada</w:t>
            </w:r>
          </w:p>
        </w:tc>
        <w:tc>
          <w:tcPr>
            <w:tcW w:w="1463" w:type="dxa"/>
            <w:vAlign w:val="center"/>
            <w:hideMark/>
          </w:tcPr>
          <w:p w14:paraId="5998C8E2" w14:textId="77777777" w:rsidR="003D07FE" w:rsidRPr="003D07FE" w:rsidRDefault="003D07FE" w:rsidP="003D07FE">
            <w:pPr>
              <w:pStyle w:val="TableParagraph"/>
            </w:pPr>
            <w:r w:rsidRPr="003D07FE">
              <w:t>Incidente de segurança</w:t>
            </w:r>
          </w:p>
        </w:tc>
        <w:tc>
          <w:tcPr>
            <w:tcW w:w="1199" w:type="dxa"/>
            <w:vAlign w:val="center"/>
            <w:hideMark/>
          </w:tcPr>
          <w:p w14:paraId="555F65DC" w14:textId="77777777" w:rsidR="003D07FE" w:rsidRPr="003D07FE" w:rsidRDefault="003D07FE" w:rsidP="003D07FE">
            <w:pPr>
              <w:pStyle w:val="TableParagraph"/>
            </w:pPr>
            <w:r w:rsidRPr="003D07FE">
              <w:t>Comunicação à ANPD e mitigação</w:t>
            </w:r>
          </w:p>
        </w:tc>
        <w:tc>
          <w:tcPr>
            <w:tcW w:w="1265" w:type="dxa"/>
            <w:vAlign w:val="center"/>
            <w:hideMark/>
          </w:tcPr>
          <w:p w14:paraId="47D38801" w14:textId="77777777" w:rsidR="003D07FE" w:rsidRPr="003D07FE" w:rsidRDefault="003D07FE" w:rsidP="003D07FE">
            <w:pPr>
              <w:pStyle w:val="TableParagraph"/>
            </w:pPr>
            <w:r w:rsidRPr="003D07FE">
              <w:t>Contratada</w:t>
            </w:r>
          </w:p>
        </w:tc>
      </w:tr>
    </w:tbl>
    <w:p w14:paraId="54BB6842" w14:textId="77777777" w:rsidR="0019025E" w:rsidRDefault="0019025E" w:rsidP="0019025E">
      <w:pPr>
        <w:pStyle w:val="TableParagraph"/>
        <w:rPr>
          <w:b/>
          <w:bCs/>
        </w:rPr>
        <w:sectPr w:rsidR="0019025E" w:rsidSect="003D07FE">
          <w:pgSz w:w="16834" w:h="11909" w:orient="landscape"/>
          <w:pgMar w:top="1440" w:right="1440" w:bottom="1440" w:left="1440" w:header="720" w:footer="720" w:gutter="0"/>
          <w:pgNumType w:start="1"/>
          <w:cols w:space="720"/>
        </w:sectPr>
      </w:pPr>
    </w:p>
    <w:p w14:paraId="1F44C5FB" w14:textId="77777777" w:rsidR="0019025E" w:rsidRDefault="0019025E" w:rsidP="0019025E">
      <w:pPr>
        <w:pStyle w:val="TableParagraph"/>
        <w:rPr>
          <w:b/>
          <w:bCs/>
        </w:rPr>
      </w:pPr>
    </w:p>
    <w:p w14:paraId="434F4FF6" w14:textId="77777777" w:rsidR="0019025E" w:rsidRDefault="0019025E" w:rsidP="0019025E">
      <w:pPr>
        <w:pStyle w:val="TableParagraph"/>
        <w:rPr>
          <w:b/>
          <w:bCs/>
        </w:rPr>
      </w:pPr>
    </w:p>
    <w:p w14:paraId="1CF7134B" w14:textId="2C6BEC27" w:rsidR="0019025E" w:rsidRPr="0019025E" w:rsidRDefault="0019025E" w:rsidP="0019025E">
      <w:pPr>
        <w:pStyle w:val="TableParagraph"/>
        <w:rPr>
          <w:b/>
          <w:bCs/>
        </w:rPr>
      </w:pPr>
      <w:r w:rsidRPr="0019025E">
        <w:rPr>
          <w:b/>
          <w:bCs/>
        </w:rPr>
        <w:t>CLÁUSULA DE ALOCAÇÃO DE RISCOS – TERMO DE REFERÊNCIA</w:t>
      </w:r>
    </w:p>
    <w:p w14:paraId="4DABDFAA" w14:textId="557D436B" w:rsidR="0019025E" w:rsidRPr="0019025E" w:rsidRDefault="0019025E" w:rsidP="0019025E">
      <w:pPr>
        <w:pStyle w:val="TableParagraph"/>
        <w:rPr>
          <w:b/>
          <w:bCs/>
        </w:rPr>
      </w:pPr>
      <w:r w:rsidRPr="0019025E">
        <w:rPr>
          <w:b/>
          <w:bCs/>
        </w:rPr>
        <w:t>Da Gestão e Alocação de Riscos</w:t>
      </w:r>
    </w:p>
    <w:p w14:paraId="55B0582B" w14:textId="77777777" w:rsidR="0019025E" w:rsidRPr="0019025E" w:rsidRDefault="0019025E" w:rsidP="0019025E">
      <w:pPr>
        <w:pStyle w:val="TableParagraph"/>
      </w:pPr>
      <w:r w:rsidRPr="0019025E">
        <w:t>Em observância ao disposto no art. 22, §3º, da Lei nº 14.133/2021, os riscos inerentes à contratação foram identificados, analisados e alocados de forma racional entre a Administração e a Contratada, conforme Mapa de Riscos que integra este Termo de Referência.</w:t>
      </w:r>
    </w:p>
    <w:p w14:paraId="69BC5094" w14:textId="77777777" w:rsidR="0019025E" w:rsidRDefault="0019025E" w:rsidP="0019025E">
      <w:pPr>
        <w:pStyle w:val="TableParagraph"/>
      </w:pPr>
    </w:p>
    <w:p w14:paraId="69335A89" w14:textId="49A212E9" w:rsidR="0019025E" w:rsidRDefault="0019025E" w:rsidP="0019025E">
      <w:pPr>
        <w:pStyle w:val="TableParagraph"/>
      </w:pPr>
      <w:r w:rsidRPr="0019025E">
        <w:t xml:space="preserve">Os riscos classificados como </w:t>
      </w:r>
      <w:r w:rsidRPr="0019025E">
        <w:rPr>
          <w:b/>
          <w:bCs/>
        </w:rPr>
        <w:t>de responsabilidade da Contratada</w:t>
      </w:r>
      <w:r w:rsidRPr="0019025E">
        <w:t xml:space="preserve"> deverão ser integralmente mitigados e tratados às suas expensas, não gerando ônus adicional à Administração.</w:t>
      </w:r>
    </w:p>
    <w:p w14:paraId="6AD74D2B" w14:textId="77777777" w:rsidR="0019025E" w:rsidRPr="0019025E" w:rsidRDefault="0019025E" w:rsidP="0019025E">
      <w:pPr>
        <w:pStyle w:val="TableParagraph"/>
      </w:pPr>
    </w:p>
    <w:p w14:paraId="72252FB4" w14:textId="77777777" w:rsidR="0019025E" w:rsidRDefault="0019025E" w:rsidP="0019025E">
      <w:pPr>
        <w:pStyle w:val="TableParagraph"/>
      </w:pPr>
      <w:r w:rsidRPr="0019025E">
        <w:t xml:space="preserve">Os riscos classificados como </w:t>
      </w:r>
      <w:r w:rsidRPr="0019025E">
        <w:rPr>
          <w:b/>
          <w:bCs/>
        </w:rPr>
        <w:t>de responsabilidade da Administração</w:t>
      </w:r>
      <w:r w:rsidRPr="0019025E">
        <w:t xml:space="preserve"> serão tratados no âmbito de sua competência institucional, incluindo providências administrativas, orçamentárias e operacionais.</w:t>
      </w:r>
    </w:p>
    <w:p w14:paraId="1DBEB436" w14:textId="77777777" w:rsidR="0019025E" w:rsidRPr="0019025E" w:rsidRDefault="0019025E" w:rsidP="0019025E">
      <w:pPr>
        <w:pStyle w:val="TableParagraph"/>
      </w:pPr>
    </w:p>
    <w:p w14:paraId="17A408D9" w14:textId="77777777" w:rsidR="0019025E" w:rsidRDefault="0019025E" w:rsidP="0019025E">
      <w:pPr>
        <w:pStyle w:val="TableParagraph"/>
      </w:pPr>
      <w:r w:rsidRPr="0019025E">
        <w:t xml:space="preserve">Os riscos classificados como </w:t>
      </w:r>
      <w:r w:rsidRPr="0019025E">
        <w:rPr>
          <w:b/>
          <w:bCs/>
        </w:rPr>
        <w:t>compartilhados</w:t>
      </w:r>
      <w:r w:rsidRPr="0019025E">
        <w:t xml:space="preserve"> serão geridos de forma cooperativa entre as partes, cabendo a cada uma adotar as medidas preventivas e corretivas dentro de sua esfera de atuação, especialmente nos casos relacionados à continuidade do serviço, transição contratual e portabilidade de dados.</w:t>
      </w:r>
    </w:p>
    <w:p w14:paraId="7D3F30C5" w14:textId="77777777" w:rsidR="0019025E" w:rsidRPr="0019025E" w:rsidRDefault="0019025E" w:rsidP="0019025E">
      <w:pPr>
        <w:pStyle w:val="TableParagraph"/>
      </w:pPr>
    </w:p>
    <w:p w14:paraId="0AF43B6F" w14:textId="77777777" w:rsidR="0019025E" w:rsidRPr="0019025E" w:rsidRDefault="0019025E" w:rsidP="0019025E">
      <w:pPr>
        <w:pStyle w:val="TableParagraph"/>
      </w:pPr>
      <w:r w:rsidRPr="0019025E">
        <w:t>A ocorrência de riscos não exime as partes do cumprimento das obrigações contratuais nem impede a aplicação das penalidades previstas em lei e no contrato</w:t>
      </w:r>
    </w:p>
    <w:p w14:paraId="21401ABA" w14:textId="77777777" w:rsidR="003D07FE" w:rsidRDefault="003D07FE" w:rsidP="00CC3FC2">
      <w:pPr>
        <w:pStyle w:val="TableParagraph"/>
      </w:pPr>
    </w:p>
    <w:p w14:paraId="54FFECEB" w14:textId="59340B40" w:rsidR="00B273E8" w:rsidRPr="00B273E8" w:rsidRDefault="00B273E8" w:rsidP="00CC3FC2">
      <w:pPr>
        <w:pStyle w:val="TableParagraph"/>
      </w:pPr>
      <w:r w:rsidRPr="00B273E8">
        <w:rPr>
          <w:lang w:val="zh-CN"/>
        </w:rPr>
        <w:t>O Mapa de Riscos deverá ser revisto sempre que houver alteração relevante no escopo da contratação, no ambiente tecnológico ou no contexto normativo aplicável, sem prejuízo da gestão contínua dos riscos durante a execução contratual</w:t>
      </w:r>
      <w:r>
        <w:t>.</w:t>
      </w:r>
    </w:p>
    <w:p w14:paraId="5332CE62" w14:textId="77777777" w:rsidR="003D07FE" w:rsidRDefault="003D07FE" w:rsidP="00CC3FC2">
      <w:pPr>
        <w:pStyle w:val="TableParagraph"/>
      </w:pPr>
    </w:p>
    <w:p w14:paraId="5C6CE6B2" w14:textId="0FAC436A" w:rsidR="008A67B5" w:rsidRPr="00240E1B" w:rsidRDefault="008A67B5" w:rsidP="00B273E8">
      <w:pPr>
        <w:pStyle w:val="TableParagraph"/>
        <w:jc w:val="right"/>
        <w:rPr>
          <w:b/>
          <w:bCs/>
        </w:rPr>
      </w:pPr>
      <w:r w:rsidRPr="00240E1B">
        <w:t xml:space="preserve">Cuiabá-MT, </w:t>
      </w:r>
      <w:r w:rsidR="00B273E8">
        <w:t>12</w:t>
      </w:r>
      <w:r w:rsidR="00831555">
        <w:t xml:space="preserve"> de janeiro</w:t>
      </w:r>
      <w:r w:rsidR="00A21F3B">
        <w:t xml:space="preserve"> </w:t>
      </w:r>
      <w:r w:rsidRPr="00240E1B">
        <w:t>de 202</w:t>
      </w:r>
      <w:r w:rsidR="00831555">
        <w:t>6</w:t>
      </w:r>
    </w:p>
    <w:p w14:paraId="58DB2BF4" w14:textId="77777777" w:rsidR="008A67B5" w:rsidRPr="00240E1B" w:rsidRDefault="008A67B5" w:rsidP="00831555">
      <w:pPr>
        <w:spacing w:line="240" w:lineRule="auto"/>
        <w:ind w:firstLine="1134"/>
        <w:jc w:val="both"/>
        <w:rPr>
          <w:rFonts w:ascii="Times New Roman" w:hAnsi="Times New Roman" w:cs="Times New Roman"/>
          <w:sz w:val="24"/>
          <w:szCs w:val="24"/>
        </w:rPr>
      </w:pP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689"/>
        <w:gridCol w:w="4340"/>
      </w:tblGrid>
      <w:tr w:rsidR="00766E1B" w:rsidRPr="00240E1B" w14:paraId="1EC5F538" w14:textId="77777777" w:rsidTr="008A67B5">
        <w:tc>
          <w:tcPr>
            <w:tcW w:w="4689" w:type="dxa"/>
          </w:tcPr>
          <w:p w14:paraId="7D515AEF" w14:textId="77777777" w:rsidR="008A67B5" w:rsidRPr="00240E1B" w:rsidRDefault="008A67B5" w:rsidP="00831555">
            <w:pPr>
              <w:pStyle w:val="Cabealho"/>
              <w:jc w:val="center"/>
              <w:rPr>
                <w:rFonts w:ascii="Times New Roman" w:hAnsi="Times New Roman" w:cs="Times New Roman"/>
                <w:sz w:val="24"/>
                <w:szCs w:val="24"/>
              </w:rPr>
            </w:pPr>
            <w:bookmarkStart w:id="1" w:name="_Hlk214260012"/>
          </w:p>
          <w:p w14:paraId="351A79BD" w14:textId="77777777" w:rsidR="008A67B5" w:rsidRPr="00240E1B" w:rsidRDefault="008A67B5" w:rsidP="00831555">
            <w:pPr>
              <w:pStyle w:val="Cabealho"/>
              <w:jc w:val="center"/>
              <w:rPr>
                <w:rFonts w:ascii="Times New Roman" w:hAnsi="Times New Roman" w:cs="Times New Roman"/>
                <w:sz w:val="24"/>
                <w:szCs w:val="24"/>
              </w:rPr>
            </w:pPr>
          </w:p>
          <w:p w14:paraId="53BD0553" w14:textId="77777777" w:rsidR="008A67B5" w:rsidRPr="00240E1B" w:rsidRDefault="008A67B5" w:rsidP="00831555">
            <w:pPr>
              <w:pStyle w:val="Cabealho"/>
              <w:jc w:val="center"/>
              <w:rPr>
                <w:rFonts w:ascii="Times New Roman" w:hAnsi="Times New Roman" w:cs="Times New Roman"/>
                <w:sz w:val="24"/>
                <w:szCs w:val="24"/>
              </w:rPr>
            </w:pPr>
          </w:p>
          <w:p w14:paraId="15822DCD" w14:textId="77777777" w:rsidR="008A67B5" w:rsidRPr="00240E1B" w:rsidRDefault="008A67B5" w:rsidP="00831555">
            <w:pPr>
              <w:pStyle w:val="Cabealho"/>
              <w:jc w:val="center"/>
              <w:rPr>
                <w:rFonts w:ascii="Times New Roman" w:hAnsi="Times New Roman" w:cs="Times New Roman"/>
                <w:sz w:val="24"/>
                <w:szCs w:val="24"/>
              </w:rPr>
            </w:pPr>
          </w:p>
          <w:p w14:paraId="3E23D37C" w14:textId="222C1891" w:rsidR="008A67B5" w:rsidRPr="00240E1B" w:rsidRDefault="008A67B5" w:rsidP="00831555">
            <w:pPr>
              <w:pStyle w:val="Cabealho"/>
              <w:jc w:val="center"/>
              <w:rPr>
                <w:rFonts w:ascii="Times New Roman" w:hAnsi="Times New Roman" w:cs="Times New Roman"/>
                <w:b/>
                <w:bCs/>
                <w:sz w:val="24"/>
                <w:szCs w:val="24"/>
              </w:rPr>
            </w:pPr>
            <w:r w:rsidRPr="00240E1B">
              <w:rPr>
                <w:rFonts w:ascii="Times New Roman" w:hAnsi="Times New Roman" w:cs="Times New Roman"/>
                <w:b/>
                <w:bCs/>
                <w:sz w:val="24"/>
                <w:szCs w:val="24"/>
              </w:rPr>
              <w:t>Lucas Vinicius Costa Silva</w:t>
            </w:r>
          </w:p>
          <w:p w14:paraId="7F7516DB" w14:textId="3B839300" w:rsidR="008A67B5" w:rsidRPr="00A21F3B" w:rsidRDefault="008A67B5" w:rsidP="00831555">
            <w:pPr>
              <w:pStyle w:val="Cabealho"/>
              <w:jc w:val="center"/>
              <w:rPr>
                <w:rFonts w:ascii="Times New Roman" w:hAnsi="Times New Roman" w:cs="Times New Roman"/>
                <w:sz w:val="20"/>
                <w:szCs w:val="20"/>
              </w:rPr>
            </w:pPr>
            <w:r w:rsidRPr="00A21F3B">
              <w:rPr>
                <w:rFonts w:ascii="Times New Roman" w:hAnsi="Times New Roman" w:cs="Times New Roman"/>
                <w:sz w:val="20"/>
                <w:szCs w:val="20"/>
              </w:rPr>
              <w:t>Portaria COREN-MT N.º 458/2025</w:t>
            </w:r>
          </w:p>
          <w:p w14:paraId="258BF38B" w14:textId="60FCD63A" w:rsidR="00A21F3B" w:rsidRPr="00240E1B" w:rsidRDefault="008A67B5" w:rsidP="003F2DFC">
            <w:pPr>
              <w:spacing w:line="240" w:lineRule="auto"/>
              <w:jc w:val="center"/>
              <w:rPr>
                <w:sz w:val="24"/>
                <w:szCs w:val="24"/>
                <w:lang w:val="pt-BR"/>
              </w:rPr>
            </w:pPr>
            <w:r w:rsidRPr="00A21F3B">
              <w:rPr>
                <w:sz w:val="20"/>
                <w:szCs w:val="20"/>
                <w:lang w:val="pt-BR"/>
              </w:rPr>
              <w:t>Contador</w:t>
            </w:r>
          </w:p>
        </w:tc>
        <w:tc>
          <w:tcPr>
            <w:tcW w:w="4340" w:type="dxa"/>
          </w:tcPr>
          <w:p w14:paraId="0C9BA226" w14:textId="77777777" w:rsidR="008A67B5" w:rsidRPr="00240E1B" w:rsidRDefault="008A67B5" w:rsidP="00831555">
            <w:pPr>
              <w:pStyle w:val="PargrafodaLista"/>
              <w:ind w:left="0" w:firstLine="0"/>
              <w:jc w:val="center"/>
              <w:rPr>
                <w:rFonts w:ascii="Times New Roman" w:hAnsi="Times New Roman" w:cs="Times New Roman"/>
                <w:sz w:val="24"/>
                <w:szCs w:val="24"/>
                <w:lang w:val="pt-BR"/>
              </w:rPr>
            </w:pPr>
          </w:p>
          <w:p w14:paraId="49A834CA" w14:textId="77777777" w:rsidR="008A67B5" w:rsidRPr="00240E1B" w:rsidRDefault="008A67B5" w:rsidP="00831555">
            <w:pPr>
              <w:pStyle w:val="PargrafodaLista"/>
              <w:ind w:left="0" w:firstLine="0"/>
              <w:jc w:val="center"/>
              <w:rPr>
                <w:rFonts w:ascii="Times New Roman" w:hAnsi="Times New Roman" w:cs="Times New Roman"/>
                <w:sz w:val="24"/>
                <w:szCs w:val="24"/>
                <w:lang w:val="pt-BR"/>
              </w:rPr>
            </w:pPr>
          </w:p>
          <w:p w14:paraId="54FE10EF" w14:textId="77777777" w:rsidR="008A67B5" w:rsidRPr="00240E1B" w:rsidRDefault="008A67B5" w:rsidP="00831555">
            <w:pPr>
              <w:pStyle w:val="PargrafodaLista"/>
              <w:ind w:left="0" w:firstLine="0"/>
              <w:jc w:val="center"/>
              <w:rPr>
                <w:rFonts w:ascii="Times New Roman" w:hAnsi="Times New Roman" w:cs="Times New Roman"/>
                <w:sz w:val="24"/>
                <w:szCs w:val="24"/>
                <w:lang w:val="pt-BR"/>
              </w:rPr>
            </w:pPr>
          </w:p>
          <w:p w14:paraId="31DC7BB7" w14:textId="77777777" w:rsidR="008A67B5" w:rsidRPr="00240E1B" w:rsidRDefault="008A67B5" w:rsidP="00831555">
            <w:pPr>
              <w:pStyle w:val="PargrafodaLista"/>
              <w:ind w:left="0" w:firstLine="0"/>
              <w:jc w:val="center"/>
              <w:rPr>
                <w:rFonts w:ascii="Times New Roman" w:hAnsi="Times New Roman" w:cs="Times New Roman"/>
                <w:sz w:val="24"/>
                <w:szCs w:val="24"/>
                <w:lang w:val="pt-BR"/>
              </w:rPr>
            </w:pPr>
          </w:p>
          <w:p w14:paraId="7282DB9E" w14:textId="2C667F5F" w:rsidR="008A67B5" w:rsidRPr="00240E1B" w:rsidRDefault="008A67B5" w:rsidP="00831555">
            <w:pPr>
              <w:pStyle w:val="PargrafodaLista"/>
              <w:ind w:left="0" w:firstLine="0"/>
              <w:jc w:val="center"/>
              <w:rPr>
                <w:rFonts w:ascii="Times New Roman" w:hAnsi="Times New Roman" w:cs="Times New Roman"/>
                <w:b/>
                <w:bCs/>
                <w:sz w:val="24"/>
                <w:szCs w:val="24"/>
                <w:lang w:val="pt-BR"/>
              </w:rPr>
            </w:pPr>
            <w:proofErr w:type="spellStart"/>
            <w:r w:rsidRPr="00240E1B">
              <w:rPr>
                <w:rFonts w:ascii="Times New Roman" w:hAnsi="Times New Roman" w:cs="Times New Roman"/>
                <w:b/>
                <w:bCs/>
                <w:sz w:val="24"/>
                <w:szCs w:val="24"/>
                <w:lang w:val="pt-BR"/>
              </w:rPr>
              <w:t>Mychele</w:t>
            </w:r>
            <w:proofErr w:type="spellEnd"/>
            <w:r w:rsidRPr="00240E1B">
              <w:rPr>
                <w:rFonts w:ascii="Times New Roman" w:hAnsi="Times New Roman" w:cs="Times New Roman"/>
                <w:b/>
                <w:bCs/>
                <w:sz w:val="24"/>
                <w:szCs w:val="24"/>
                <w:lang w:val="pt-BR"/>
              </w:rPr>
              <w:t xml:space="preserve"> Ramos Miranda</w:t>
            </w:r>
          </w:p>
          <w:p w14:paraId="213028D2" w14:textId="05A56F97" w:rsidR="008A67B5" w:rsidRPr="00A21F3B" w:rsidRDefault="008A67B5" w:rsidP="00831555">
            <w:pPr>
              <w:pStyle w:val="PargrafodaLista"/>
              <w:ind w:left="0" w:firstLine="0"/>
              <w:jc w:val="center"/>
              <w:rPr>
                <w:rFonts w:ascii="Times New Roman" w:hAnsi="Times New Roman" w:cs="Times New Roman"/>
                <w:sz w:val="20"/>
                <w:szCs w:val="20"/>
                <w:lang w:val="pt-BR"/>
              </w:rPr>
            </w:pPr>
            <w:r w:rsidRPr="00A21F3B">
              <w:rPr>
                <w:rFonts w:ascii="Times New Roman" w:hAnsi="Times New Roman" w:cs="Times New Roman"/>
                <w:sz w:val="20"/>
                <w:szCs w:val="20"/>
                <w:lang w:val="pt-BR"/>
              </w:rPr>
              <w:t>Mat. 213/2023</w:t>
            </w:r>
          </w:p>
          <w:p w14:paraId="5DF86EF7" w14:textId="3C695677" w:rsidR="008A67B5" w:rsidRPr="00240E1B" w:rsidRDefault="008A67B5" w:rsidP="003F2DFC">
            <w:pPr>
              <w:pStyle w:val="Cabealho"/>
              <w:jc w:val="center"/>
              <w:rPr>
                <w:rFonts w:ascii="Times New Roman" w:hAnsi="Times New Roman" w:cs="Times New Roman"/>
                <w:sz w:val="24"/>
                <w:szCs w:val="24"/>
              </w:rPr>
            </w:pPr>
            <w:r w:rsidRPr="00A21F3B">
              <w:rPr>
                <w:rFonts w:ascii="Times New Roman" w:hAnsi="Times New Roman" w:cs="Times New Roman"/>
                <w:color w:val="000000" w:themeColor="text1"/>
                <w:sz w:val="20"/>
                <w:szCs w:val="20"/>
              </w:rPr>
              <w:t>Gestão de Pessoas</w:t>
            </w:r>
          </w:p>
        </w:tc>
      </w:tr>
      <w:tr w:rsidR="008A67B5" w:rsidRPr="00240E1B" w14:paraId="2D3AA5B6" w14:textId="77777777" w:rsidTr="008A67B5">
        <w:tc>
          <w:tcPr>
            <w:tcW w:w="9029" w:type="dxa"/>
            <w:gridSpan w:val="2"/>
          </w:tcPr>
          <w:p w14:paraId="2B5D16A6" w14:textId="77777777" w:rsidR="008A67B5" w:rsidRPr="00240E1B" w:rsidRDefault="008A67B5" w:rsidP="00831555">
            <w:pPr>
              <w:pStyle w:val="Cabealho"/>
              <w:jc w:val="center"/>
              <w:rPr>
                <w:rFonts w:ascii="Times New Roman" w:hAnsi="Times New Roman" w:cs="Times New Roman"/>
                <w:sz w:val="24"/>
                <w:szCs w:val="24"/>
              </w:rPr>
            </w:pPr>
          </w:p>
        </w:tc>
      </w:tr>
      <w:bookmarkEnd w:id="1"/>
    </w:tbl>
    <w:p w14:paraId="3DF414EE" w14:textId="77777777" w:rsidR="008A67B5" w:rsidRPr="00240E1B" w:rsidRDefault="008A67B5" w:rsidP="002B2B9D">
      <w:pPr>
        <w:tabs>
          <w:tab w:val="left" w:pos="4400"/>
        </w:tabs>
        <w:spacing w:line="240" w:lineRule="auto"/>
        <w:ind w:left="40"/>
        <w:rPr>
          <w:rFonts w:ascii="Times New Roman" w:hAnsi="Times New Roman" w:cs="Times New Roman"/>
          <w:b/>
          <w:sz w:val="24"/>
          <w:szCs w:val="24"/>
        </w:rPr>
      </w:pPr>
    </w:p>
    <w:sectPr w:rsidR="008A67B5" w:rsidRPr="00240E1B" w:rsidSect="0019025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88C5" w14:textId="77777777" w:rsidR="00AF5A45" w:rsidRDefault="003F2DFC">
      <w:pPr>
        <w:spacing w:line="240" w:lineRule="auto"/>
      </w:pPr>
      <w:r>
        <w:separator/>
      </w:r>
    </w:p>
  </w:endnote>
  <w:endnote w:type="continuationSeparator" w:id="0">
    <w:p w14:paraId="50CB044D" w14:textId="77777777" w:rsidR="00AF5A45" w:rsidRDefault="003F2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889" w14:textId="4F997499" w:rsidR="00240E1B" w:rsidRDefault="00240E1B">
    <w:pPr>
      <w:pStyle w:val="Rodap"/>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15"/>
      <w:gridCol w:w="4545"/>
    </w:tblGrid>
    <w:tr w:rsidR="00240E1B" w:rsidRPr="00240E1B" w14:paraId="23CF7C92" w14:textId="77777777">
      <w:tc>
        <w:tcPr>
          <w:tcW w:w="4515" w:type="dxa"/>
          <w:tcBorders>
            <w:top w:val="nil"/>
            <w:left w:val="nil"/>
            <w:bottom w:val="nil"/>
            <w:right w:val="nil"/>
          </w:tcBorders>
        </w:tcPr>
        <w:p w14:paraId="03B5B0B2" w14:textId="77777777" w:rsidR="00240E1B" w:rsidRPr="00240E1B" w:rsidRDefault="00240E1B" w:rsidP="00240E1B">
          <w:pPr>
            <w:pStyle w:val="Rodap"/>
            <w:rPr>
              <w:b/>
              <w:sz w:val="20"/>
              <w:szCs w:val="20"/>
              <w:lang w:val="pt-BR"/>
            </w:rPr>
          </w:pPr>
          <w:bookmarkStart w:id="0" w:name="_Hlk160616479"/>
          <w:r w:rsidRPr="00240E1B">
            <w:rPr>
              <w:b/>
              <w:sz w:val="20"/>
              <w:szCs w:val="20"/>
              <w:lang w:val="pt-BR"/>
            </w:rPr>
            <w:t>Endereço:</w:t>
          </w:r>
          <w:bookmarkEnd w:id="0"/>
        </w:p>
        <w:p w14:paraId="6C4851F0" w14:textId="77777777" w:rsidR="00240E1B" w:rsidRPr="00240E1B" w:rsidRDefault="00240E1B" w:rsidP="00240E1B">
          <w:pPr>
            <w:pStyle w:val="Rodap"/>
            <w:rPr>
              <w:sz w:val="20"/>
              <w:szCs w:val="20"/>
              <w:lang w:val="pt-BR"/>
            </w:rPr>
          </w:pPr>
          <w:r w:rsidRPr="00240E1B">
            <w:rPr>
              <w:sz w:val="20"/>
              <w:szCs w:val="20"/>
              <w:lang w:val="pt-BR"/>
            </w:rPr>
            <w:t>Rua dos Lírios, nº 363 Bairro Jardim Cuiabá</w:t>
          </w:r>
        </w:p>
        <w:p w14:paraId="2D7C43A6" w14:textId="77777777" w:rsidR="00240E1B" w:rsidRPr="00240E1B" w:rsidRDefault="00240E1B" w:rsidP="00240E1B">
          <w:pPr>
            <w:pStyle w:val="Rodap"/>
            <w:rPr>
              <w:sz w:val="20"/>
              <w:szCs w:val="20"/>
              <w:lang w:val="pt-BR"/>
            </w:rPr>
          </w:pPr>
          <w:r w:rsidRPr="00240E1B">
            <w:rPr>
              <w:sz w:val="20"/>
              <w:szCs w:val="20"/>
              <w:lang w:val="pt-BR"/>
            </w:rPr>
            <w:t>CEP 78.043-122 Cuiabá - MT</w:t>
          </w:r>
        </w:p>
        <w:p w14:paraId="133BFAAB" w14:textId="77777777" w:rsidR="00240E1B" w:rsidRPr="00240E1B" w:rsidRDefault="00240E1B" w:rsidP="00240E1B">
          <w:pPr>
            <w:pStyle w:val="Rodap"/>
            <w:rPr>
              <w:sz w:val="20"/>
              <w:szCs w:val="20"/>
              <w:lang w:val="pt-BR"/>
            </w:rPr>
          </w:pPr>
        </w:p>
        <w:p w14:paraId="7F0C30E8" w14:textId="77777777" w:rsidR="00240E1B" w:rsidRPr="00240E1B" w:rsidRDefault="00240E1B" w:rsidP="00240E1B">
          <w:pPr>
            <w:pStyle w:val="Rodap"/>
            <w:rPr>
              <w:sz w:val="20"/>
              <w:szCs w:val="20"/>
              <w:lang w:val="pt-BR"/>
            </w:rPr>
          </w:pPr>
          <w:r w:rsidRPr="00240E1B">
            <w:rPr>
              <w:b/>
              <w:sz w:val="20"/>
              <w:szCs w:val="20"/>
              <w:lang w:val="pt-BR"/>
            </w:rPr>
            <w:t>Redes:</w:t>
          </w:r>
          <w:r w:rsidRPr="00240E1B">
            <w:rPr>
              <w:sz w:val="20"/>
              <w:szCs w:val="20"/>
              <w:lang w:val="pt-BR"/>
            </w:rPr>
            <w:t xml:space="preserve">       </w:t>
          </w:r>
          <w:hyperlink r:id="rId1" w:history="1">
            <w:r w:rsidRPr="00240E1B">
              <w:rPr>
                <w:rStyle w:val="Hyperlink"/>
                <w:sz w:val="20"/>
                <w:szCs w:val="20"/>
                <w:lang w:val="pt-BR"/>
              </w:rPr>
              <w:t>www.coren-mt.gov.br</w:t>
            </w:r>
          </w:hyperlink>
          <w:r w:rsidRPr="00240E1B">
            <w:rPr>
              <w:sz w:val="20"/>
              <w:szCs w:val="20"/>
              <w:lang w:val="pt-BR"/>
            </w:rPr>
            <w:t xml:space="preserve"> / @corenmt</w:t>
          </w:r>
        </w:p>
      </w:tc>
      <w:tc>
        <w:tcPr>
          <w:tcW w:w="4545" w:type="dxa"/>
          <w:tcBorders>
            <w:top w:val="nil"/>
            <w:left w:val="nil"/>
            <w:bottom w:val="nil"/>
            <w:right w:val="nil"/>
          </w:tcBorders>
          <w:hideMark/>
        </w:tcPr>
        <w:p w14:paraId="11BD3CBB" w14:textId="1D09F898" w:rsidR="00240E1B" w:rsidRPr="00240E1B" w:rsidRDefault="00240E1B" w:rsidP="00240E1B">
          <w:pPr>
            <w:pStyle w:val="Rodap"/>
            <w:rPr>
              <w:b/>
              <w:sz w:val="20"/>
              <w:szCs w:val="20"/>
              <w:lang w:val="pt-BR"/>
            </w:rPr>
          </w:pPr>
          <w:r w:rsidRPr="00240E1B">
            <w:rPr>
              <w:b/>
              <w:noProof/>
              <w:sz w:val="20"/>
              <w:szCs w:val="20"/>
              <w:lang w:val="pt-BR"/>
            </w:rPr>
            <w:drawing>
              <wp:inline distT="0" distB="0" distL="0" distR="0" wp14:anchorId="6D201AEC" wp14:editId="7A7CB3C8">
                <wp:extent cx="2028825" cy="781050"/>
                <wp:effectExtent l="0" t="0" r="9525" b="0"/>
                <wp:docPr id="160610282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81050"/>
                        </a:xfrm>
                        <a:prstGeom prst="rect">
                          <a:avLst/>
                        </a:prstGeom>
                        <a:noFill/>
                        <a:ln>
                          <a:noFill/>
                        </a:ln>
                      </pic:spPr>
                    </pic:pic>
                  </a:graphicData>
                </a:graphic>
              </wp:inline>
            </w:drawing>
          </w:r>
        </w:p>
      </w:tc>
    </w:tr>
  </w:tbl>
  <w:p w14:paraId="3D14F217" w14:textId="6F1339B3" w:rsidR="00240E1B" w:rsidRDefault="00240E1B">
    <w:pPr>
      <w:pStyle w:val="Rodap"/>
    </w:pPr>
  </w:p>
  <w:p w14:paraId="19219422" w14:textId="77777777" w:rsidR="00240E1B" w:rsidRDefault="00240E1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B0FEF" w14:textId="77777777" w:rsidR="00AF5A45" w:rsidRDefault="003F2DFC">
      <w:r>
        <w:separator/>
      </w:r>
    </w:p>
  </w:footnote>
  <w:footnote w:type="continuationSeparator" w:id="0">
    <w:p w14:paraId="49A99017" w14:textId="77777777" w:rsidR="00AF5A45" w:rsidRDefault="003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A62D" w14:textId="2E8830B7" w:rsidR="00240E1B" w:rsidRDefault="00240E1B" w:rsidP="00240E1B">
    <w:pPr>
      <w:pStyle w:val="Cabealho"/>
      <w:jc w:val="center"/>
    </w:pPr>
    <w:r>
      <w:rPr>
        <w:noProof/>
      </w:rPr>
      <w:drawing>
        <wp:inline distT="0" distB="0" distL="0" distR="0" wp14:anchorId="0A80B2A0" wp14:editId="065165D7">
          <wp:extent cx="4053840" cy="1216025"/>
          <wp:effectExtent l="0" t="0" r="3810" b="3175"/>
          <wp:docPr id="2078389374"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7456" name="Imagem 2" descr="Cabeçalho.jpg"/>
                  <pic:cNvPicPr>
                    <a:picLocks noChangeAspect="1"/>
                  </pic:cNvPicPr>
                </pic:nvPicPr>
                <pic:blipFill>
                  <a:blip r:embed="rId1"/>
                  <a:stretch>
                    <a:fillRect/>
                  </a:stretch>
                </pic:blipFill>
                <pic:spPr>
                  <a:xfrm>
                    <a:off x="0" y="0"/>
                    <a:ext cx="4053840" cy="1216025"/>
                  </a:xfrm>
                  <a:prstGeom prst="rect">
                    <a:avLst/>
                  </a:prstGeom>
                </pic:spPr>
              </pic:pic>
            </a:graphicData>
          </a:graphic>
        </wp:inline>
      </w:drawing>
    </w:r>
  </w:p>
  <w:p w14:paraId="2D335C6B" w14:textId="77777777" w:rsidR="00240E1B" w:rsidRDefault="00240E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880"/>
    <w:multiLevelType w:val="multilevel"/>
    <w:tmpl w:val="C6D0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1C720660"/>
    <w:multiLevelType w:val="hybridMultilevel"/>
    <w:tmpl w:val="2662D05E"/>
    <w:lvl w:ilvl="0" w:tplc="F00EC8A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0260618"/>
    <w:multiLevelType w:val="multilevel"/>
    <w:tmpl w:val="CD5C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83909"/>
    <w:multiLevelType w:val="multilevel"/>
    <w:tmpl w:val="762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C74"/>
    <w:multiLevelType w:val="multilevel"/>
    <w:tmpl w:val="6C32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257879">
    <w:abstractNumId w:val="1"/>
  </w:num>
  <w:num w:numId="2" w16cid:durableId="1973248990">
    <w:abstractNumId w:val="2"/>
  </w:num>
  <w:num w:numId="3" w16cid:durableId="1827091855">
    <w:abstractNumId w:val="4"/>
  </w:num>
  <w:num w:numId="4" w16cid:durableId="945576512">
    <w:abstractNumId w:val="5"/>
  </w:num>
  <w:num w:numId="5" w16cid:durableId="1832791209">
    <w:abstractNumId w:val="3"/>
  </w:num>
  <w:num w:numId="6" w16cid:durableId="98763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A45"/>
    <w:rsid w:val="001010C2"/>
    <w:rsid w:val="001111EA"/>
    <w:rsid w:val="00114444"/>
    <w:rsid w:val="00157897"/>
    <w:rsid w:val="0016309A"/>
    <w:rsid w:val="001648B4"/>
    <w:rsid w:val="0019025E"/>
    <w:rsid w:val="001A24F7"/>
    <w:rsid w:val="00240E1B"/>
    <w:rsid w:val="002B2B9D"/>
    <w:rsid w:val="002D7F81"/>
    <w:rsid w:val="00371F1C"/>
    <w:rsid w:val="003D07FE"/>
    <w:rsid w:val="003F2DFC"/>
    <w:rsid w:val="004442CE"/>
    <w:rsid w:val="004A1680"/>
    <w:rsid w:val="005170CE"/>
    <w:rsid w:val="005676E4"/>
    <w:rsid w:val="0057134A"/>
    <w:rsid w:val="005A2E77"/>
    <w:rsid w:val="005D0B43"/>
    <w:rsid w:val="006001D7"/>
    <w:rsid w:val="00613A28"/>
    <w:rsid w:val="0068677C"/>
    <w:rsid w:val="006E3C23"/>
    <w:rsid w:val="00744032"/>
    <w:rsid w:val="00766E1B"/>
    <w:rsid w:val="007D2C55"/>
    <w:rsid w:val="00831555"/>
    <w:rsid w:val="008A67B5"/>
    <w:rsid w:val="00973D37"/>
    <w:rsid w:val="00A21F3B"/>
    <w:rsid w:val="00AF5A45"/>
    <w:rsid w:val="00B273E8"/>
    <w:rsid w:val="00CA37FC"/>
    <w:rsid w:val="00CC3FC2"/>
    <w:rsid w:val="00D556BB"/>
    <w:rsid w:val="00DC7370"/>
    <w:rsid w:val="00E11503"/>
    <w:rsid w:val="00E90F9F"/>
    <w:rsid w:val="00F82ACE"/>
    <w:rsid w:val="00FD46AB"/>
    <w:rsid w:val="3505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CDDF32"/>
  <w15:docId w15:val="{E359C1F1-7DF7-4E0B-8568-16569864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Default Paragraph Font" w:semiHidden="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zh-C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TableNormal">
    <w:name w:val="Table Normal"/>
    <w:tblPr>
      <w:tblCellMar>
        <w:top w:w="0" w:type="dxa"/>
        <w:left w:w="0" w:type="dxa"/>
        <w:bottom w:w="0" w:type="dxa"/>
        <w:right w:w="0" w:type="dxa"/>
      </w:tblCellMar>
    </w:tblPr>
  </w:style>
  <w:style w:type="paragraph" w:customStyle="1" w:styleId="TableParagraph">
    <w:name w:val="Table Paragraph"/>
    <w:basedOn w:val="Normal"/>
    <w:autoRedefine/>
    <w:uiPriority w:val="1"/>
    <w:qFormat/>
    <w:rsid w:val="00CC3FC2"/>
    <w:pPr>
      <w:widowControl w:val="0"/>
      <w:tabs>
        <w:tab w:val="left" w:pos="1328"/>
      </w:tabs>
      <w:autoSpaceDE w:val="0"/>
      <w:autoSpaceDN w:val="0"/>
      <w:spacing w:before="16" w:line="240" w:lineRule="auto"/>
      <w:ind w:left="10" w:right="-15"/>
      <w:jc w:val="both"/>
    </w:pPr>
    <w:rPr>
      <w:rFonts w:ascii="Times New Roman" w:eastAsia="Arial MT" w:hAnsi="Times New Roman" w:cs="Times New Roman"/>
      <w:spacing w:val="-2"/>
      <w:sz w:val="24"/>
      <w:szCs w:val="24"/>
      <w:lang w:val="pt-BR" w:eastAsia="en-US"/>
    </w:rPr>
  </w:style>
  <w:style w:type="paragraph" w:styleId="Cabealho">
    <w:name w:val="header"/>
    <w:basedOn w:val="Normal"/>
    <w:link w:val="CabealhoChar"/>
    <w:uiPriority w:val="99"/>
    <w:qFormat/>
    <w:rsid w:val="008A67B5"/>
    <w:pPr>
      <w:widowControl w:val="0"/>
      <w:tabs>
        <w:tab w:val="center" w:pos="4252"/>
        <w:tab w:val="right" w:pos="8504"/>
      </w:tabs>
      <w:autoSpaceDE w:val="0"/>
      <w:autoSpaceDN w:val="0"/>
      <w:spacing w:line="240" w:lineRule="auto"/>
    </w:pPr>
    <w:rPr>
      <w:rFonts w:ascii="Arial MT" w:eastAsia="Arial MT" w:hAnsi="Arial MT" w:cs="Arial MT"/>
      <w:lang w:val="pt-BR" w:eastAsia="en-US"/>
    </w:rPr>
  </w:style>
  <w:style w:type="character" w:customStyle="1" w:styleId="CabealhoChar">
    <w:name w:val="Cabeçalho Char"/>
    <w:basedOn w:val="Fontepargpadro"/>
    <w:link w:val="Cabealho"/>
    <w:uiPriority w:val="99"/>
    <w:qFormat/>
    <w:rsid w:val="008A67B5"/>
    <w:rPr>
      <w:rFonts w:ascii="Arial MT" w:eastAsia="Arial MT" w:hAnsi="Arial MT" w:cs="Arial MT"/>
      <w:sz w:val="22"/>
      <w:szCs w:val="22"/>
      <w:lang w:eastAsia="en-US"/>
    </w:rPr>
  </w:style>
  <w:style w:type="table" w:styleId="Tabelacomgrade">
    <w:name w:val="Table Grid"/>
    <w:autoRedefine/>
    <w:uiPriority w:val="59"/>
    <w:qFormat/>
    <w:rsid w:val="008A67B5"/>
    <w:rPr>
      <w:rFonts w:ascii="Times New Roman" w:eastAsia="SimSu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styleId="PargrafodaLista">
    <w:name w:val="List Paragraph"/>
    <w:basedOn w:val="Normal"/>
    <w:uiPriority w:val="1"/>
    <w:qFormat/>
    <w:rsid w:val="008A67B5"/>
    <w:pPr>
      <w:widowControl w:val="0"/>
      <w:autoSpaceDE w:val="0"/>
      <w:autoSpaceDN w:val="0"/>
      <w:spacing w:line="240" w:lineRule="auto"/>
      <w:ind w:left="958" w:hanging="201"/>
      <w:jc w:val="both"/>
    </w:pPr>
    <w:rPr>
      <w:rFonts w:ascii="Arial MT" w:eastAsia="Arial MT" w:hAnsi="Arial MT" w:cs="Arial MT"/>
      <w:lang w:val="pt-PT" w:eastAsia="en-US"/>
    </w:rPr>
  </w:style>
  <w:style w:type="paragraph" w:styleId="Rodap">
    <w:name w:val="footer"/>
    <w:basedOn w:val="Normal"/>
    <w:link w:val="RodapChar"/>
    <w:uiPriority w:val="99"/>
    <w:rsid w:val="00240E1B"/>
    <w:pPr>
      <w:tabs>
        <w:tab w:val="center" w:pos="4252"/>
        <w:tab w:val="right" w:pos="8504"/>
      </w:tabs>
      <w:spacing w:line="240" w:lineRule="auto"/>
    </w:pPr>
  </w:style>
  <w:style w:type="character" w:customStyle="1" w:styleId="RodapChar">
    <w:name w:val="Rodapé Char"/>
    <w:basedOn w:val="Fontepargpadro"/>
    <w:link w:val="Rodap"/>
    <w:uiPriority w:val="99"/>
    <w:rsid w:val="00240E1B"/>
    <w:rPr>
      <w:sz w:val="22"/>
      <w:szCs w:val="22"/>
      <w:lang w:val="zh-CN"/>
    </w:rPr>
  </w:style>
  <w:style w:type="character" w:styleId="Hyperlink">
    <w:name w:val="Hyperlink"/>
    <w:basedOn w:val="Fontepargpadro"/>
    <w:rsid w:val="00240E1B"/>
    <w:rPr>
      <w:color w:val="0000FF" w:themeColor="hyperlink"/>
      <w:u w:val="single"/>
    </w:rPr>
  </w:style>
  <w:style w:type="character" w:styleId="MenoPendente">
    <w:name w:val="Unresolved Mention"/>
    <w:basedOn w:val="Fontepargpadro"/>
    <w:uiPriority w:val="99"/>
    <w:semiHidden/>
    <w:unhideWhenUsed/>
    <w:rsid w:val="00240E1B"/>
    <w:rPr>
      <w:color w:val="605E5C"/>
      <w:shd w:val="clear" w:color="auto" w:fill="E1DFDD"/>
    </w:rPr>
  </w:style>
  <w:style w:type="paragraph" w:styleId="NormalWeb">
    <w:name w:val="Normal (Web)"/>
    <w:basedOn w:val="Normal"/>
    <w:uiPriority w:val="99"/>
    <w:unhideWhenUsed/>
    <w:rsid w:val="004A1680"/>
    <w:pPr>
      <w:spacing w:before="100" w:beforeAutospacing="1" w:after="100" w:afterAutospacing="1" w:line="240" w:lineRule="auto"/>
    </w:pPr>
    <w:rPr>
      <w:rFonts w:ascii="Times New Roman" w:eastAsia="Times New Roman" w:hAnsi="Times New Roman" w:cs="Times New Roman"/>
      <w:sz w:val="24"/>
      <w:szCs w:val="24"/>
      <w:lang w:val="pt-BR"/>
    </w:rPr>
  </w:style>
  <w:style w:type="character" w:styleId="Forte">
    <w:name w:val="Strong"/>
    <w:basedOn w:val="Fontepargpadro"/>
    <w:uiPriority w:val="22"/>
    <w:qFormat/>
    <w:rsid w:val="004A16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ren-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818</Words>
  <Characters>4420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elemarcia.rezer</dc:creator>
  <cp:lastModifiedBy>Lelê Espiga</cp:lastModifiedBy>
  <cp:revision>7</cp:revision>
  <cp:lastPrinted>2026-01-14T16:12:00Z</cp:lastPrinted>
  <dcterms:created xsi:type="dcterms:W3CDTF">2026-01-06T15:19:00Z</dcterms:created>
  <dcterms:modified xsi:type="dcterms:W3CDTF">2026-01-14T16:12:00Z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10200D22E473458C8143BC0B1944F052_13</vt:lpwstr>
  </property>
</Properties>
</file>