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E1DE" w14:textId="57AF505A" w:rsidR="00CD4D8A" w:rsidRDefault="00CD4D8A" w:rsidP="00CD4D8A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</w:p>
    <w:p w14:paraId="564E635C" w14:textId="24E11CF5" w:rsidR="00CD4D8A" w:rsidRDefault="00CD4D8A" w:rsidP="00CD4D8A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DA PROPOSTA</w:t>
      </w:r>
    </w:p>
    <w:p w14:paraId="3F7690F7" w14:textId="77777777" w:rsidR="00CD4D8A" w:rsidRDefault="00CD4D8A" w:rsidP="00CD4D8A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C706B" w14:textId="74F622C5" w:rsidR="00E00CAE" w:rsidRPr="00932B69" w:rsidRDefault="006A177E" w:rsidP="00CD4D8A">
      <w:pPr>
        <w:spacing w:line="259" w:lineRule="auto"/>
        <w:jc w:val="center"/>
        <w:rPr>
          <w:rFonts w:ascii="Times New Roman" w:hAnsi="Times New Roman" w:cs="Times New Roman"/>
          <w:b/>
          <w:bCs/>
          <w:color w:val="405CA1"/>
          <w:sz w:val="24"/>
          <w:szCs w:val="24"/>
        </w:rPr>
      </w:pPr>
      <w:r w:rsidRPr="00932B69">
        <w:rPr>
          <w:rFonts w:ascii="Times New Roman" w:hAnsi="Times New Roman" w:cs="Times New Roman"/>
          <w:b/>
          <w:bCs/>
          <w:sz w:val="24"/>
          <w:szCs w:val="24"/>
        </w:rPr>
        <w:t>CONSELHO REGIONAO DE ENFERMAGEM DE MATO GROSSO</w:t>
      </w:r>
    </w:p>
    <w:p w14:paraId="4E56C9AD" w14:textId="5D1244D3" w:rsidR="00E00CAE" w:rsidRPr="00932B69" w:rsidRDefault="00E00CAE" w:rsidP="00CD4D8A">
      <w:pPr>
        <w:jc w:val="center"/>
        <w:rPr>
          <w:rFonts w:ascii="Times New Roman" w:hAnsi="Times New Roman" w:cs="Times New Roman"/>
          <w:b/>
          <w:bCs/>
          <w:color w:val="5B5B5F"/>
          <w:sz w:val="24"/>
          <w:szCs w:val="24"/>
        </w:rPr>
      </w:pPr>
      <w:r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AVISO DE </w:t>
      </w:r>
      <w:r w:rsidR="006A177E"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DISPENSA ELETRÔNICOA N.º 90001/2025</w:t>
      </w:r>
    </w:p>
    <w:p w14:paraId="2FCE5D28" w14:textId="5AE36289" w:rsidR="00A830B4" w:rsidRPr="00932B69" w:rsidRDefault="00E00CAE" w:rsidP="00CD4D8A">
      <w:pPr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(Processo Administrativo n</w:t>
      </w:r>
      <w:r w:rsidR="0007518E"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º</w:t>
      </w:r>
      <w:r w:rsidR="00D70FCA"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177E"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12/2025</w:t>
      </w:r>
      <w:r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060B88BF" w14:textId="77F963F1" w:rsidR="00B960C9" w:rsidRDefault="00B960C9" w:rsidP="00CD4D8A">
      <w:pPr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2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MODELO DE PROPOSTA COMERCIAL</w:t>
      </w:r>
    </w:p>
    <w:p w14:paraId="16D8FDF6" w14:textId="77777777" w:rsidR="00CD4D8A" w:rsidRPr="00932B69" w:rsidRDefault="00CD4D8A" w:rsidP="00CD4D8A">
      <w:pPr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509"/>
        <w:gridCol w:w="4510"/>
      </w:tblGrid>
      <w:tr w:rsidR="005E604D" w:rsidRPr="00932B69" w14:paraId="68C98463" w14:textId="77777777" w:rsidTr="005E604D">
        <w:tc>
          <w:tcPr>
            <w:tcW w:w="4509" w:type="dxa"/>
          </w:tcPr>
          <w:p w14:paraId="01513050" w14:textId="4BE89683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Empresa:</w:t>
            </w:r>
          </w:p>
        </w:tc>
        <w:tc>
          <w:tcPr>
            <w:tcW w:w="4510" w:type="dxa"/>
          </w:tcPr>
          <w:p w14:paraId="22B7306D" w14:textId="2E4A897F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CNPJ:</w:t>
            </w:r>
          </w:p>
        </w:tc>
      </w:tr>
      <w:tr w:rsidR="005E604D" w:rsidRPr="00932B69" w14:paraId="0899ADBF" w14:textId="77777777" w:rsidTr="005E604D">
        <w:tc>
          <w:tcPr>
            <w:tcW w:w="4509" w:type="dxa"/>
          </w:tcPr>
          <w:p w14:paraId="15E8B78D" w14:textId="2CD38F57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Endereço:</w:t>
            </w:r>
          </w:p>
        </w:tc>
        <w:tc>
          <w:tcPr>
            <w:tcW w:w="4510" w:type="dxa"/>
          </w:tcPr>
          <w:p w14:paraId="1BD65578" w14:textId="5C844080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Nº</w:t>
            </w:r>
          </w:p>
        </w:tc>
      </w:tr>
      <w:tr w:rsidR="005E604D" w:rsidRPr="00932B69" w14:paraId="2A9D2C40" w14:textId="77777777" w:rsidTr="005E604D">
        <w:tc>
          <w:tcPr>
            <w:tcW w:w="4509" w:type="dxa"/>
          </w:tcPr>
          <w:p w14:paraId="0AAB2100" w14:textId="3065188D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Complemento:</w:t>
            </w:r>
          </w:p>
        </w:tc>
        <w:tc>
          <w:tcPr>
            <w:tcW w:w="4510" w:type="dxa"/>
          </w:tcPr>
          <w:p w14:paraId="621DC1B5" w14:textId="70A38AF3" w:rsidR="009A3C9C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CEP:</w:t>
            </w:r>
          </w:p>
        </w:tc>
      </w:tr>
      <w:tr w:rsidR="005E604D" w:rsidRPr="00932B69" w14:paraId="5D53F72B" w14:textId="77777777" w:rsidTr="005E604D">
        <w:tc>
          <w:tcPr>
            <w:tcW w:w="4509" w:type="dxa"/>
          </w:tcPr>
          <w:p w14:paraId="6AB75183" w14:textId="1340D94A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Bairro:</w:t>
            </w:r>
          </w:p>
        </w:tc>
        <w:tc>
          <w:tcPr>
            <w:tcW w:w="4510" w:type="dxa"/>
          </w:tcPr>
          <w:p w14:paraId="15BF0C9F" w14:textId="524EA558" w:rsidR="005E604D" w:rsidRPr="00932B69" w:rsidRDefault="009A3C9C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Cidade/Estado:</w:t>
            </w:r>
          </w:p>
        </w:tc>
      </w:tr>
      <w:tr w:rsidR="005E604D" w:rsidRPr="00932B69" w14:paraId="46EAA9CD" w14:textId="77777777" w:rsidTr="005E604D">
        <w:tc>
          <w:tcPr>
            <w:tcW w:w="4509" w:type="dxa"/>
          </w:tcPr>
          <w:p w14:paraId="793E0A6E" w14:textId="1D03D547" w:rsidR="005E604D" w:rsidRPr="00932B69" w:rsidRDefault="009278DE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E-mail:</w:t>
            </w:r>
          </w:p>
        </w:tc>
        <w:tc>
          <w:tcPr>
            <w:tcW w:w="4510" w:type="dxa"/>
          </w:tcPr>
          <w:p w14:paraId="5C2307AF" w14:textId="29AC625E" w:rsidR="005E604D" w:rsidRPr="00932B69" w:rsidRDefault="009278DE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Fone:</w:t>
            </w:r>
          </w:p>
        </w:tc>
      </w:tr>
      <w:tr w:rsidR="005E604D" w:rsidRPr="00932B69" w14:paraId="0332C27F" w14:textId="77777777" w:rsidTr="005E604D">
        <w:tc>
          <w:tcPr>
            <w:tcW w:w="4509" w:type="dxa"/>
          </w:tcPr>
          <w:p w14:paraId="33810686" w14:textId="0C7A1D3B" w:rsidR="005E604D" w:rsidRPr="00932B69" w:rsidRDefault="009278DE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Banco:</w:t>
            </w:r>
          </w:p>
        </w:tc>
        <w:tc>
          <w:tcPr>
            <w:tcW w:w="4510" w:type="dxa"/>
          </w:tcPr>
          <w:p w14:paraId="77E40F7A" w14:textId="50D8DDB3" w:rsidR="005E604D" w:rsidRPr="00932B69" w:rsidRDefault="009278DE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Agência/Conta:</w:t>
            </w:r>
          </w:p>
        </w:tc>
      </w:tr>
      <w:tr w:rsidR="005E604D" w:rsidRPr="00932B69" w14:paraId="12D6CF15" w14:textId="77777777" w:rsidTr="005E604D">
        <w:tc>
          <w:tcPr>
            <w:tcW w:w="4509" w:type="dxa"/>
          </w:tcPr>
          <w:p w14:paraId="4D5C2953" w14:textId="0528CFF8" w:rsidR="005E604D" w:rsidRPr="00932B69" w:rsidRDefault="000B1A09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Representante:</w:t>
            </w:r>
          </w:p>
        </w:tc>
        <w:tc>
          <w:tcPr>
            <w:tcW w:w="4510" w:type="dxa"/>
          </w:tcPr>
          <w:p w14:paraId="63AA2EEB" w14:textId="49AFBED2" w:rsidR="005E604D" w:rsidRPr="00932B69" w:rsidRDefault="000B1A09" w:rsidP="00225FEA">
            <w:pPr>
              <w:pStyle w:val="PADRO"/>
              <w:keepNext w:val="0"/>
              <w:widowControl/>
              <w:numPr>
                <w:ilvl w:val="1"/>
                <w:numId w:val="0"/>
              </w:numPr>
              <w:shd w:val="clear" w:color="auto" w:fill="auto"/>
              <w:tabs>
                <w:tab w:val="num" w:pos="-142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32B69">
              <w:rPr>
                <w:rFonts w:ascii="Times New Roman" w:hAnsi="Times New Roman" w:cs="Times New Roman"/>
                <w:color w:val="000000" w:themeColor="text1"/>
                <w:sz w:val="24"/>
              </w:rPr>
              <w:t>CPF:</w:t>
            </w:r>
          </w:p>
        </w:tc>
      </w:tr>
    </w:tbl>
    <w:p w14:paraId="3D98A444" w14:textId="0F454A52" w:rsidR="002C2F2E" w:rsidRPr="00932B69" w:rsidRDefault="00225FEA" w:rsidP="002C2F2E">
      <w:pPr>
        <w:pStyle w:val="PADRO"/>
        <w:keepNext w:val="0"/>
        <w:widowControl/>
        <w:numPr>
          <w:ilvl w:val="1"/>
          <w:numId w:val="0"/>
        </w:numPr>
        <w:shd w:val="clear" w:color="auto" w:fill="auto"/>
        <w:tabs>
          <w:tab w:val="num" w:pos="-142"/>
        </w:tabs>
        <w:spacing w:before="240" w:after="240"/>
        <w:rPr>
          <w:rFonts w:ascii="Times New Roman" w:hAnsi="Times New Roman" w:cs="Times New Roman"/>
          <w:color w:val="000000" w:themeColor="text1"/>
          <w:sz w:val="24"/>
        </w:rPr>
      </w:pPr>
      <w:r w:rsidRPr="00932B69">
        <w:rPr>
          <w:rFonts w:ascii="Times New Roman" w:hAnsi="Times New Roman" w:cs="Times New Roman"/>
          <w:color w:val="000000" w:themeColor="text1"/>
          <w:sz w:val="24"/>
        </w:rPr>
        <w:t xml:space="preserve">A empresa supracitada </w:t>
      </w:r>
      <w:r w:rsidR="007D01E3" w:rsidRPr="00932B69">
        <w:rPr>
          <w:rFonts w:ascii="Times New Roman" w:hAnsi="Times New Roman" w:cs="Times New Roman"/>
          <w:color w:val="000000" w:themeColor="text1"/>
          <w:sz w:val="24"/>
        </w:rPr>
        <w:t xml:space="preserve">propõe fornecer ao </w:t>
      </w:r>
      <w:r w:rsidR="006A177E" w:rsidRPr="00932B69">
        <w:rPr>
          <w:rFonts w:ascii="Times New Roman" w:hAnsi="Times New Roman" w:cs="Times New Roman"/>
          <w:color w:val="000000" w:themeColor="text1"/>
          <w:sz w:val="24"/>
        </w:rPr>
        <w:t>Conselho Regional de Enfermagem de Mato Grosso (COREN-MT)</w:t>
      </w:r>
      <w:r w:rsidR="00D817D0" w:rsidRPr="00932B6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9F6080" w:rsidRPr="00932B69">
        <w:rPr>
          <w:rFonts w:ascii="Times New Roman" w:hAnsi="Times New Roman" w:cs="Times New Roman"/>
          <w:color w:val="000000" w:themeColor="text1"/>
          <w:sz w:val="24"/>
        </w:rPr>
        <w:t xml:space="preserve">em estrito cumprimento </w:t>
      </w:r>
      <w:r w:rsidR="009C4A65" w:rsidRPr="00932B69">
        <w:rPr>
          <w:rFonts w:ascii="Times New Roman" w:hAnsi="Times New Roman" w:cs="Times New Roman"/>
          <w:color w:val="000000" w:themeColor="text1"/>
          <w:sz w:val="24"/>
        </w:rPr>
        <w:t xml:space="preserve">ao previsto no Aviso </w:t>
      </w:r>
      <w:r w:rsidR="006A177E" w:rsidRPr="00932B69">
        <w:rPr>
          <w:rFonts w:ascii="Times New Roman" w:hAnsi="Times New Roman" w:cs="Times New Roman"/>
          <w:color w:val="000000" w:themeColor="text1"/>
          <w:sz w:val="24"/>
        </w:rPr>
        <w:t>de Dispensa Eletrônica</w:t>
      </w:r>
      <w:r w:rsidR="009C4A65" w:rsidRPr="00932B69">
        <w:rPr>
          <w:rFonts w:ascii="Times New Roman" w:hAnsi="Times New Roman" w:cs="Times New Roman"/>
          <w:color w:val="000000" w:themeColor="text1"/>
          <w:sz w:val="24"/>
        </w:rPr>
        <w:t>, especialmente no que tange às Especificações do Objeto (Anexo I do aviso):</w:t>
      </w:r>
    </w:p>
    <w:tbl>
      <w:tblPr>
        <w:tblStyle w:val="Tabelacomgrade"/>
        <w:tblW w:w="9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130"/>
        <w:gridCol w:w="850"/>
        <w:gridCol w:w="992"/>
        <w:gridCol w:w="851"/>
        <w:gridCol w:w="1276"/>
        <w:gridCol w:w="1271"/>
      </w:tblGrid>
      <w:tr w:rsidR="006A177E" w:rsidRPr="005B781E" w14:paraId="3837C338" w14:textId="77777777" w:rsidTr="001530CB">
        <w:tc>
          <w:tcPr>
            <w:tcW w:w="9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</w:tcPr>
          <w:p w14:paraId="47B2FA43" w14:textId="194AB946" w:rsidR="006A177E" w:rsidRPr="005B781E" w:rsidRDefault="006A177E" w:rsidP="001530CB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 xml:space="preserve">LOTE I </w:t>
            </w:r>
          </w:p>
        </w:tc>
      </w:tr>
      <w:tr w:rsidR="006A177E" w:rsidRPr="005B781E" w14:paraId="41ED582D" w14:textId="77777777" w:rsidTr="001530CB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4E48FDE1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614085F7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03603DC9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CATSER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1E2EEE76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097EDF51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 xml:space="preserve">QTDE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6349CD9D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  <w:hideMark/>
          </w:tcPr>
          <w:p w14:paraId="2161D9CD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6A177E" w:rsidRPr="005B781E" w14:paraId="6EC7D802" w14:textId="77777777" w:rsidTr="006A177E">
        <w:trPr>
          <w:trHeight w:val="828"/>
        </w:trPr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93DC" w14:textId="77777777" w:rsidR="006A177E" w:rsidRPr="005B781E" w:rsidRDefault="006A177E" w:rsidP="001530CB">
            <w:pPr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1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12CC5" w14:textId="77777777" w:rsidR="006A177E" w:rsidRPr="005B781E" w:rsidRDefault="006A177E" w:rsidP="001530CB">
            <w:pPr>
              <w:ind w:left="704"/>
              <w:jc w:val="both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Programa de Necessidade para aquisição</w:t>
            </w:r>
          </w:p>
          <w:p w14:paraId="653F7734" w14:textId="77777777" w:rsidR="006A177E" w:rsidRPr="005B781E" w:rsidRDefault="006A177E" w:rsidP="006A177E">
            <w:pPr>
              <w:numPr>
                <w:ilvl w:val="2"/>
                <w:numId w:val="9"/>
              </w:numPr>
              <w:ind w:left="704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Atualizar estimativas de áreas necessárias, considerando o organograma do Coren-MT, as atribuições, quantitativo de pessoal (empregados, assessores, comissionados, estagiários, terceirizados e colaboradores (bem como, por planejamento eficiente, futuro incremento no quadro de pessoal) e demais necessidades. </w:t>
            </w:r>
          </w:p>
          <w:p w14:paraId="4ECCE69F" w14:textId="77777777" w:rsidR="006A177E" w:rsidRPr="005B781E" w:rsidRDefault="006A177E" w:rsidP="006A177E">
            <w:pPr>
              <w:numPr>
                <w:ilvl w:val="2"/>
                <w:numId w:val="9"/>
              </w:numPr>
              <w:ind w:left="562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Elaborar estudos técnicos que irão subsidiar na elaboração do projeto básico, que fará parte de futuro chamamento público para aquisição, especificando </w:t>
            </w:r>
            <w:r w:rsidRPr="005B781E">
              <w:rPr>
                <w:sz w:val="22"/>
                <w:szCs w:val="22"/>
              </w:rPr>
              <w:lastRenderedPageBreak/>
              <w:t xml:space="preserve">materiais, acabamentos e demais necessidades inerentes </w:t>
            </w:r>
            <w:proofErr w:type="spellStart"/>
            <w:r w:rsidRPr="005B781E">
              <w:rPr>
                <w:sz w:val="22"/>
                <w:szCs w:val="22"/>
              </w:rPr>
              <w:t>a</w:t>
            </w:r>
            <w:proofErr w:type="spellEnd"/>
            <w:r w:rsidRPr="005B781E">
              <w:rPr>
                <w:sz w:val="22"/>
                <w:szCs w:val="22"/>
              </w:rPr>
              <w:t xml:space="preserve"> arquitetura;</w:t>
            </w:r>
          </w:p>
          <w:p w14:paraId="25B84EB6" w14:textId="77777777" w:rsidR="006A177E" w:rsidRPr="005B781E" w:rsidRDefault="006A177E" w:rsidP="006A177E">
            <w:pPr>
              <w:numPr>
                <w:ilvl w:val="2"/>
                <w:numId w:val="9"/>
              </w:numPr>
              <w:ind w:left="562"/>
              <w:jc w:val="both"/>
              <w:rPr>
                <w:sz w:val="22"/>
                <w:szCs w:val="22"/>
              </w:rPr>
            </w:pPr>
            <w:r w:rsidRPr="005B781E">
              <w:rPr>
                <w:bCs/>
                <w:sz w:val="22"/>
                <w:szCs w:val="22"/>
              </w:rPr>
              <w:t>Assessoria quanto a análise das possíveis propostas recebidas na prospecção de mercado e em eventual chamamento público;</w:t>
            </w:r>
          </w:p>
          <w:p w14:paraId="2AB053A4" w14:textId="77777777" w:rsidR="006A177E" w:rsidRPr="005B781E" w:rsidRDefault="006A177E" w:rsidP="006A177E">
            <w:pPr>
              <w:numPr>
                <w:ilvl w:val="2"/>
                <w:numId w:val="9"/>
              </w:numPr>
              <w:ind w:left="562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Atuar como consultor e assessor nas demais necessidades inerentes ao projeto, relacionadas especificamente com as atribuições de arquitetura, como um todo.</w:t>
            </w:r>
          </w:p>
          <w:p w14:paraId="498584E8" w14:textId="77777777" w:rsidR="006A177E" w:rsidRPr="005B781E" w:rsidRDefault="006A177E" w:rsidP="006A177E">
            <w:pPr>
              <w:numPr>
                <w:ilvl w:val="2"/>
                <w:numId w:val="9"/>
              </w:numPr>
              <w:ind w:left="562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Emitir de parecer de conformidade sobre o imóvel entregue.</w:t>
            </w:r>
          </w:p>
          <w:p w14:paraId="22489951" w14:textId="77777777" w:rsidR="006A177E" w:rsidRPr="005B781E" w:rsidRDefault="006A177E" w:rsidP="006A177E">
            <w:pPr>
              <w:numPr>
                <w:ilvl w:val="2"/>
                <w:numId w:val="9"/>
              </w:numPr>
              <w:ind w:left="562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A </w:t>
            </w:r>
            <w:r w:rsidRPr="005B781E">
              <w:rPr>
                <w:b/>
                <w:bCs/>
                <w:sz w:val="22"/>
                <w:szCs w:val="22"/>
              </w:rPr>
              <w:t>execução dos serviços corresponderá às seguintes quantidades:</w:t>
            </w:r>
          </w:p>
          <w:p w14:paraId="562E7484" w14:textId="77777777" w:rsidR="006A177E" w:rsidRPr="005B781E" w:rsidRDefault="006A177E" w:rsidP="001530CB">
            <w:pPr>
              <w:ind w:left="846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a)</w:t>
            </w:r>
            <w:r w:rsidRPr="005B781E">
              <w:rPr>
                <w:sz w:val="22"/>
                <w:szCs w:val="22"/>
              </w:rPr>
              <w:tab/>
              <w:t>01 Relatório compreendendo o programa de necessidades.</w:t>
            </w:r>
          </w:p>
          <w:p w14:paraId="4F38DFB7" w14:textId="77777777" w:rsidR="006A177E" w:rsidRPr="005B781E" w:rsidRDefault="006A177E" w:rsidP="001530CB">
            <w:pPr>
              <w:ind w:left="846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b)</w:t>
            </w:r>
            <w:r w:rsidRPr="005B781E">
              <w:rPr>
                <w:sz w:val="22"/>
                <w:szCs w:val="22"/>
              </w:rPr>
              <w:tab/>
              <w:t>01 Relatório compreendendo o projeto básico</w:t>
            </w:r>
          </w:p>
          <w:p w14:paraId="53EB61AC" w14:textId="77777777" w:rsidR="006A177E" w:rsidRPr="005B781E" w:rsidRDefault="006A177E" w:rsidP="001530CB">
            <w:pPr>
              <w:ind w:left="846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c)</w:t>
            </w:r>
            <w:r w:rsidRPr="005B781E">
              <w:rPr>
                <w:sz w:val="22"/>
                <w:szCs w:val="22"/>
              </w:rPr>
              <w:tab/>
              <w:t xml:space="preserve">01 relatório sobre todas as propostas apresentadas no(s) Chamamento(s) Público(s) </w:t>
            </w:r>
          </w:p>
          <w:p w14:paraId="080ED66F" w14:textId="77777777" w:rsidR="006A177E" w:rsidRPr="005B781E" w:rsidRDefault="006A177E" w:rsidP="001530CB">
            <w:pPr>
              <w:ind w:left="846"/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d)</w:t>
            </w:r>
            <w:r w:rsidRPr="005B781E">
              <w:rPr>
                <w:sz w:val="22"/>
                <w:szCs w:val="22"/>
              </w:rPr>
              <w:tab/>
              <w:t>01 Relatório de conformidade sobre o imóvel entregue.</w:t>
            </w:r>
          </w:p>
          <w:p w14:paraId="3C4516B9" w14:textId="77777777" w:rsidR="006A177E" w:rsidRPr="005B781E" w:rsidRDefault="006A177E" w:rsidP="001530CB">
            <w:pPr>
              <w:ind w:left="846"/>
              <w:jc w:val="both"/>
              <w:rPr>
                <w:bCs/>
                <w:sz w:val="22"/>
                <w:szCs w:val="22"/>
              </w:rPr>
            </w:pPr>
            <w:r w:rsidRPr="005B781E">
              <w:rPr>
                <w:bCs/>
                <w:sz w:val="22"/>
                <w:szCs w:val="22"/>
              </w:rPr>
              <w:t xml:space="preserve"> </w:t>
            </w:r>
          </w:p>
          <w:p w14:paraId="41858C1A" w14:textId="77777777" w:rsidR="006A177E" w:rsidRPr="005B781E" w:rsidRDefault="006A177E" w:rsidP="001530CB">
            <w:pPr>
              <w:ind w:left="137"/>
              <w:jc w:val="both"/>
              <w:rPr>
                <w:b/>
                <w:sz w:val="22"/>
                <w:szCs w:val="22"/>
              </w:rPr>
            </w:pPr>
            <w:r w:rsidRPr="005B781E">
              <w:rPr>
                <w:bCs/>
                <w:sz w:val="22"/>
                <w:szCs w:val="22"/>
              </w:rPr>
              <w:t xml:space="preserve">1.2. </w:t>
            </w:r>
            <w:r w:rsidRPr="005B781E">
              <w:rPr>
                <w:b/>
                <w:sz w:val="22"/>
                <w:szCs w:val="22"/>
              </w:rPr>
              <w:t>A elaboração dos projetos deverá atender também às seguintes Normas e Práticas Complementares:</w:t>
            </w:r>
          </w:p>
          <w:p w14:paraId="3B5C9391" w14:textId="77777777" w:rsidR="006A177E" w:rsidRPr="005B781E" w:rsidRDefault="006A177E" w:rsidP="001530CB">
            <w:pPr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1.2.1. Práticas de Projeto, Construção e Manutenção de Edifícios Públicos Federais;</w:t>
            </w:r>
          </w:p>
          <w:p w14:paraId="6995FE82" w14:textId="77777777" w:rsidR="006A177E" w:rsidRPr="005B781E" w:rsidRDefault="006A177E" w:rsidP="001530CB">
            <w:pPr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1.2.2. Normas da ABNT e do INMETRO;</w:t>
            </w:r>
          </w:p>
          <w:p w14:paraId="3A51C374" w14:textId="77777777" w:rsidR="006A177E" w:rsidRPr="005B781E" w:rsidRDefault="006A177E" w:rsidP="001530CB">
            <w:pPr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1.2.3. Códigos, Leis, Decretos, Portarias e Normas Federais e do Distrito Federal, inclusive normas de concessionárias de serviços públicos;</w:t>
            </w:r>
          </w:p>
          <w:p w14:paraId="6DC40723" w14:textId="77777777" w:rsidR="006A177E" w:rsidRPr="005B781E" w:rsidRDefault="006A177E" w:rsidP="001530CB">
            <w:pPr>
              <w:jc w:val="both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1.2.4. Instruções e Resoluções dos Órgãos dos Sistemas CONFEA e CAU/BR.</w:t>
            </w:r>
          </w:p>
          <w:p w14:paraId="1452CD4B" w14:textId="77777777" w:rsidR="006A177E" w:rsidRPr="005B781E" w:rsidRDefault="006A177E" w:rsidP="001530CB">
            <w:pPr>
              <w:jc w:val="both"/>
              <w:rPr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lastRenderedPageBreak/>
              <w:t xml:space="preserve">Cidade: </w:t>
            </w:r>
            <w:r w:rsidRPr="005B781E">
              <w:rPr>
                <w:sz w:val="22"/>
                <w:szCs w:val="22"/>
              </w:rPr>
              <w:t>Cuiabá/MT</w:t>
            </w:r>
          </w:p>
          <w:p w14:paraId="479A6839" w14:textId="77777777" w:rsidR="006A177E" w:rsidRPr="005B781E" w:rsidRDefault="006A177E" w:rsidP="001530CB">
            <w:pPr>
              <w:ind w:left="846"/>
              <w:jc w:val="both"/>
              <w:rPr>
                <w:sz w:val="22"/>
                <w:szCs w:val="22"/>
              </w:rPr>
            </w:pPr>
          </w:p>
          <w:p w14:paraId="099D3278" w14:textId="77777777" w:rsidR="006A177E" w:rsidRPr="005B781E" w:rsidRDefault="006A177E" w:rsidP="001530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5DE50" w14:textId="77777777" w:rsidR="006A177E" w:rsidRPr="005B781E" w:rsidRDefault="006A177E" w:rsidP="001530CB">
            <w:pPr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lastRenderedPageBreak/>
              <w:t>876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E9028" w14:textId="77777777" w:rsidR="006A177E" w:rsidRPr="005B781E" w:rsidRDefault="006A177E" w:rsidP="001530CB">
            <w:pPr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Unidade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3A5B" w14:textId="77777777" w:rsidR="006A177E" w:rsidRPr="005B781E" w:rsidRDefault="006A177E" w:rsidP="001530CB">
            <w:pPr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47739" w14:textId="29BB228D" w:rsidR="006A177E" w:rsidRPr="005B781E" w:rsidRDefault="006A177E" w:rsidP="001530CB">
            <w:pPr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R$ </w:t>
            </w:r>
          </w:p>
        </w:tc>
        <w:tc>
          <w:tcPr>
            <w:tcW w:w="1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E8818" w14:textId="0B2951EB" w:rsidR="006A177E" w:rsidRPr="005B781E" w:rsidRDefault="006A177E" w:rsidP="001530CB">
            <w:pPr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R$ </w:t>
            </w:r>
          </w:p>
        </w:tc>
      </w:tr>
      <w:tr w:rsidR="006A177E" w:rsidRPr="005B781E" w14:paraId="06DA6086" w14:textId="77777777" w:rsidTr="001530CB">
        <w:tc>
          <w:tcPr>
            <w:tcW w:w="69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03B6B606" w14:textId="77777777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3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1371A9DF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 xml:space="preserve">Avaliação do imóvel para locação e venda. </w:t>
            </w:r>
          </w:p>
          <w:p w14:paraId="0A8E9181" w14:textId="77777777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Laudo de Avaliação Completo de Imóveis para locação e venda de imóvel, de acordo com a ABNT NBR nº 14.653, em via digital, contendo a análise e pesquisa de mercado; vistoria física detalhada do imóvel e do entorno; verificação de documentos; vistoria e análise de infraestrutura local e estudo de variáveis macro e microeconômicas, nas seguintes </w:t>
            </w:r>
            <w:r w:rsidRPr="005B781E">
              <w:rPr>
                <w:b/>
                <w:bCs/>
                <w:sz w:val="22"/>
                <w:szCs w:val="22"/>
              </w:rPr>
              <w:t>cidades:</w:t>
            </w:r>
            <w:r w:rsidRPr="005B781E">
              <w:rPr>
                <w:sz w:val="22"/>
                <w:szCs w:val="22"/>
              </w:rPr>
              <w:t xml:space="preserve"> Cuiabá, Barra do Garças, Cáceres e Rondonópolis, Tangará da Serra e Sinop*.</w:t>
            </w:r>
          </w:p>
          <w:p w14:paraId="1A70ABE7" w14:textId="77777777" w:rsidR="006A177E" w:rsidRPr="005B781E" w:rsidRDefault="006A177E" w:rsidP="001530CB">
            <w:pPr>
              <w:spacing w:line="278" w:lineRule="auto"/>
              <w:rPr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Venda:</w:t>
            </w:r>
            <w:r w:rsidRPr="005B781E">
              <w:rPr>
                <w:sz w:val="22"/>
                <w:szCs w:val="22"/>
              </w:rPr>
              <w:t xml:space="preserve"> 3</w:t>
            </w:r>
          </w:p>
          <w:p w14:paraId="6F7F6C92" w14:textId="77777777" w:rsidR="006A177E" w:rsidRPr="005B781E" w:rsidRDefault="006A177E" w:rsidP="001530CB">
            <w:pPr>
              <w:spacing w:line="278" w:lineRule="auto"/>
              <w:rPr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Locação:</w:t>
            </w:r>
            <w:r w:rsidRPr="005B781E">
              <w:rPr>
                <w:sz w:val="22"/>
                <w:szCs w:val="22"/>
              </w:rPr>
              <w:t xml:space="preserve"> 5</w:t>
            </w:r>
          </w:p>
          <w:p w14:paraId="06750AF6" w14:textId="77777777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>*Imóveis a definir pela Contratante nas cidades especificadas.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533244D3" w14:textId="77777777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876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4A873B1A" w14:textId="77777777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Unidade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40F3363A" w14:textId="77777777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4D742A7B" w14:textId="6512178B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R$ </w:t>
            </w:r>
          </w:p>
        </w:tc>
        <w:tc>
          <w:tcPr>
            <w:tcW w:w="127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7C8EA199" w14:textId="021E213E" w:rsidR="006A177E" w:rsidRPr="005B781E" w:rsidRDefault="006A177E" w:rsidP="001530CB">
            <w:pPr>
              <w:spacing w:after="160" w:line="278" w:lineRule="auto"/>
              <w:rPr>
                <w:sz w:val="22"/>
                <w:szCs w:val="22"/>
              </w:rPr>
            </w:pPr>
            <w:r w:rsidRPr="005B781E">
              <w:rPr>
                <w:sz w:val="22"/>
                <w:szCs w:val="22"/>
              </w:rPr>
              <w:t xml:space="preserve">R$ </w:t>
            </w:r>
          </w:p>
        </w:tc>
      </w:tr>
      <w:tr w:rsidR="006A177E" w:rsidRPr="005B781E" w14:paraId="243F4188" w14:textId="77777777" w:rsidTr="001530CB">
        <w:tc>
          <w:tcPr>
            <w:tcW w:w="7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490" w14:textId="44DCEC70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 xml:space="preserve">Valor Total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E6A" w14:textId="3BB46332" w:rsidR="006A177E" w:rsidRPr="005B781E" w:rsidRDefault="006A177E" w:rsidP="001530CB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5B781E">
              <w:rPr>
                <w:b/>
                <w:bCs/>
                <w:sz w:val="22"/>
                <w:szCs w:val="22"/>
              </w:rPr>
              <w:t xml:space="preserve">R$ </w:t>
            </w:r>
          </w:p>
        </w:tc>
      </w:tr>
    </w:tbl>
    <w:p w14:paraId="10A1E8E2" w14:textId="77777777" w:rsidR="00932B69" w:rsidRDefault="00932B69" w:rsidP="00E148E8">
      <w:pPr>
        <w:spacing w:before="240" w:after="24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04774" w14:textId="78B69C95" w:rsidR="003D3676" w:rsidRPr="00932B69" w:rsidRDefault="00E148E8" w:rsidP="00E148E8">
      <w:pPr>
        <w:spacing w:before="240" w:after="24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B69">
        <w:rPr>
          <w:rFonts w:ascii="Times New Roman" w:hAnsi="Times New Roman" w:cs="Times New Roman"/>
          <w:b/>
          <w:sz w:val="24"/>
          <w:szCs w:val="24"/>
        </w:rPr>
        <w:t>DECLARAÇÃO:</w:t>
      </w:r>
    </w:p>
    <w:p w14:paraId="7E9A08AF" w14:textId="78D7C7C3" w:rsidR="005C1019" w:rsidRPr="00932B69" w:rsidRDefault="005C1019" w:rsidP="005C1019">
      <w:pPr>
        <w:spacing w:before="240" w:after="24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B69">
        <w:rPr>
          <w:rFonts w:ascii="Times New Roman" w:hAnsi="Times New Roman" w:cs="Times New Roman"/>
          <w:bCs/>
          <w:sz w:val="24"/>
          <w:szCs w:val="24"/>
        </w:rPr>
        <w:t xml:space="preserve">Em atendimento ao Aviso </w:t>
      </w:r>
      <w:r w:rsidR="006A177E" w:rsidRPr="00932B69">
        <w:rPr>
          <w:rFonts w:ascii="Times New Roman" w:hAnsi="Times New Roman" w:cs="Times New Roman"/>
          <w:bCs/>
          <w:sz w:val="24"/>
          <w:szCs w:val="24"/>
        </w:rPr>
        <w:t>da Dispensa Eletrônica</w:t>
      </w:r>
      <w:r w:rsidRPr="00932B69">
        <w:rPr>
          <w:rFonts w:ascii="Times New Roman" w:hAnsi="Times New Roman" w:cs="Times New Roman"/>
          <w:bCs/>
          <w:sz w:val="24"/>
          <w:szCs w:val="24"/>
        </w:rPr>
        <w:t xml:space="preserve"> n° </w:t>
      </w:r>
      <w:r w:rsidR="006A177E" w:rsidRPr="00932B69">
        <w:rPr>
          <w:rFonts w:ascii="Times New Roman" w:hAnsi="Times New Roman" w:cs="Times New Roman"/>
          <w:bCs/>
          <w:sz w:val="24"/>
          <w:szCs w:val="24"/>
        </w:rPr>
        <w:t>90001/2025</w:t>
      </w:r>
      <w:r w:rsidRPr="00932B69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6A177E" w:rsidRPr="00932B69">
        <w:rPr>
          <w:rFonts w:ascii="Times New Roman" w:hAnsi="Times New Roman" w:cs="Times New Roman"/>
          <w:bCs/>
          <w:sz w:val="24"/>
          <w:szCs w:val="24"/>
        </w:rPr>
        <w:t>COREN-MT</w:t>
      </w:r>
      <w:r w:rsidRPr="00932B69">
        <w:rPr>
          <w:rFonts w:ascii="Times New Roman" w:hAnsi="Times New Roman" w:cs="Times New Roman"/>
          <w:bCs/>
          <w:sz w:val="24"/>
          <w:szCs w:val="24"/>
        </w:rPr>
        <w:t>, declaramos que:</w:t>
      </w:r>
    </w:p>
    <w:p w14:paraId="0D05C5D1" w14:textId="181C2FAB" w:rsidR="005C1019" w:rsidRPr="00932B69" w:rsidRDefault="005C1019" w:rsidP="005C1019">
      <w:pPr>
        <w:spacing w:before="240" w:after="24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B69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932B69" w:rsidRPr="00932B69">
        <w:rPr>
          <w:rFonts w:ascii="Times New Roman" w:hAnsi="Times New Roman" w:cs="Times New Roman"/>
          <w:bCs/>
          <w:sz w:val="24"/>
          <w:szCs w:val="24"/>
        </w:rPr>
        <w:t xml:space="preserve">Os preços contidos nesta proposta deverão incluir todos os custos operacionais, encargos previdenciários, trabalhistas, tributários, deslocamentos e, se necessário, os </w:t>
      </w:r>
      <w:proofErr w:type="spellStart"/>
      <w:r w:rsidR="00932B69" w:rsidRPr="00932B69">
        <w:rPr>
          <w:rFonts w:ascii="Times New Roman" w:hAnsi="Times New Roman" w:cs="Times New Roman"/>
          <w:bCs/>
          <w:sz w:val="24"/>
          <w:szCs w:val="24"/>
        </w:rPr>
        <w:t>translados</w:t>
      </w:r>
      <w:proofErr w:type="spellEnd"/>
      <w:r w:rsidR="00932B69" w:rsidRPr="00932B69">
        <w:rPr>
          <w:rFonts w:ascii="Times New Roman" w:hAnsi="Times New Roman" w:cs="Times New Roman"/>
          <w:bCs/>
          <w:sz w:val="24"/>
          <w:szCs w:val="24"/>
        </w:rPr>
        <w:t xml:space="preserve"> até os municípios onde os laudos forem realizados, bem como os custos comerciais e quaisquer outros que incidam direta ou indiretamente sobre a prestação dos serviços necessários ao cumprimento integral do objeto deste Aviso de Contratação Direta e seus anexos</w:t>
      </w:r>
      <w:r w:rsidRPr="00932B69">
        <w:rPr>
          <w:rFonts w:ascii="Times New Roman" w:hAnsi="Times New Roman" w:cs="Times New Roman"/>
          <w:bCs/>
          <w:sz w:val="24"/>
          <w:szCs w:val="24"/>
        </w:rPr>
        <w:t>;</w:t>
      </w:r>
    </w:p>
    <w:p w14:paraId="5D783121" w14:textId="50E375D8" w:rsidR="00E148E8" w:rsidRPr="00932B69" w:rsidRDefault="005C1019" w:rsidP="005C1019">
      <w:pPr>
        <w:spacing w:before="240" w:after="24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B69">
        <w:rPr>
          <w:rFonts w:ascii="Times New Roman" w:hAnsi="Times New Roman" w:cs="Times New Roman"/>
          <w:bCs/>
          <w:sz w:val="24"/>
          <w:szCs w:val="24"/>
        </w:rPr>
        <w:t>• Os itens ofertados atenderão a todos as exigência e especificações técnicas do respectivo Aviso, em especial as do termo de referência;</w:t>
      </w:r>
    </w:p>
    <w:p w14:paraId="7691C91D" w14:textId="77777777" w:rsidR="00932B69" w:rsidRPr="00932B69" w:rsidRDefault="005C1019" w:rsidP="5060AAA3">
      <w:pPr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69">
        <w:rPr>
          <w:rFonts w:ascii="Times New Roman" w:hAnsi="Times New Roman" w:cs="Times New Roman"/>
          <w:sz w:val="24"/>
          <w:szCs w:val="24"/>
        </w:rPr>
        <w:t xml:space="preserve">• O prazo de validade desta proposta é de 60 (sessenta dias) corridos, contados da data de abertura da sessão </w:t>
      </w:r>
      <w:r w:rsidR="32648D37" w:rsidRPr="00932B69">
        <w:rPr>
          <w:rFonts w:ascii="Times New Roman" w:hAnsi="Times New Roman" w:cs="Times New Roman"/>
          <w:sz w:val="24"/>
          <w:szCs w:val="24"/>
        </w:rPr>
        <w:t>pública</w:t>
      </w:r>
      <w:r w:rsidRPr="00932B69">
        <w:rPr>
          <w:rFonts w:ascii="Times New Roman" w:hAnsi="Times New Roman" w:cs="Times New Roman"/>
          <w:sz w:val="24"/>
          <w:szCs w:val="24"/>
        </w:rPr>
        <w:t xml:space="preserve"> de Contratação Direta.</w:t>
      </w:r>
    </w:p>
    <w:p w14:paraId="73EB5B3D" w14:textId="0C5D68FF" w:rsidR="00261335" w:rsidRPr="00932B69" w:rsidRDefault="005C1019" w:rsidP="5060AAA3">
      <w:pPr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69">
        <w:rPr>
          <w:rFonts w:ascii="Times New Roman" w:hAnsi="Times New Roman" w:cs="Times New Roman"/>
          <w:bCs/>
          <w:sz w:val="24"/>
          <w:szCs w:val="24"/>
        </w:rPr>
        <w:lastRenderedPageBreak/>
        <w:cr/>
      </w:r>
    </w:p>
    <w:p w14:paraId="4CB3596F" w14:textId="77777777" w:rsidR="003E0B5B" w:rsidRPr="00932B69" w:rsidRDefault="003E0B5B" w:rsidP="000573E7">
      <w:pPr>
        <w:spacing w:before="240" w:after="240"/>
        <w:ind w:left="360" w:right="-15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34C4CC5" w14:textId="257C97BF" w:rsidR="00E00CAE" w:rsidRPr="00932B69" w:rsidRDefault="00932B69" w:rsidP="000573E7">
      <w:pPr>
        <w:spacing w:before="240" w:after="240"/>
        <w:ind w:left="360" w:right="-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Cuiabá/MT</w:t>
      </w:r>
      <w:r w:rsidR="00B81542" w:rsidRPr="00932B69">
        <w:rPr>
          <w:rFonts w:ascii="Times New Roman" w:hAnsi="Times New Roman" w:cs="Times New Roman"/>
          <w:color w:val="000000"/>
          <w:sz w:val="24"/>
          <w:szCs w:val="24"/>
        </w:rPr>
        <w:t xml:space="preserve">, XX de </w:t>
      </w:r>
      <w:proofErr w:type="spellStart"/>
      <w:r w:rsidR="005C1019" w:rsidRPr="00932B69">
        <w:rPr>
          <w:rFonts w:ascii="Times New Roman" w:hAnsi="Times New Roman" w:cs="Times New Roman"/>
          <w:color w:val="000000"/>
          <w:sz w:val="24"/>
          <w:szCs w:val="24"/>
        </w:rPr>
        <w:t>xxxxxxxx</w:t>
      </w:r>
      <w:proofErr w:type="spellEnd"/>
      <w:r w:rsidR="00B81542" w:rsidRPr="00932B69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81542" w:rsidRPr="00932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ECC91C" w14:textId="1C027D8C" w:rsidR="003637CA" w:rsidRPr="00932B69" w:rsidRDefault="003637CA" w:rsidP="000573E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886BFA4" w14:textId="7E2677A1" w:rsidR="5060AAA3" w:rsidRPr="00932B69" w:rsidRDefault="5060AAA3" w:rsidP="5060AAA3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06C26" w14:textId="5F4C37F5" w:rsidR="003637CA" w:rsidRPr="00932B69" w:rsidRDefault="003637CA" w:rsidP="5060AAA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69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528EE520" w14:textId="2584DB51" w:rsidR="003637CA" w:rsidRPr="00932B69" w:rsidRDefault="005C1019" w:rsidP="5060AAA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32B69">
        <w:rPr>
          <w:rFonts w:ascii="Times New Roman" w:hAnsi="Times New Roman" w:cs="Times New Roman"/>
          <w:b/>
          <w:bCs/>
          <w:sz w:val="24"/>
          <w:szCs w:val="24"/>
        </w:rPr>
        <w:t>Representante Legal da Contratad</w:t>
      </w:r>
      <w:r w:rsidR="129CA918" w:rsidRPr="00932B6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524B30D" w14:textId="5F915169" w:rsidR="003637CA" w:rsidRPr="00932B69" w:rsidRDefault="005C1019" w:rsidP="5060AAA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32B69">
        <w:rPr>
          <w:rFonts w:ascii="Times New Roman" w:hAnsi="Times New Roman" w:cs="Times New Roman"/>
          <w:b/>
          <w:bCs/>
          <w:sz w:val="24"/>
          <w:szCs w:val="24"/>
        </w:rPr>
        <w:t>Cargo</w:t>
      </w:r>
    </w:p>
    <w:p w14:paraId="67BFD18E" w14:textId="1C656B1D" w:rsidR="00B7288F" w:rsidRPr="00932B69" w:rsidRDefault="00B7288F" w:rsidP="000573E7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B7288F" w:rsidRPr="00932B69" w:rsidSect="006945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62" w:right="1440" w:bottom="1440" w:left="1440" w:header="68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FCFB" w14:textId="77777777" w:rsidR="0090651B" w:rsidRDefault="0090651B">
      <w:pPr>
        <w:spacing w:line="240" w:lineRule="auto"/>
      </w:pPr>
      <w:r>
        <w:separator/>
      </w:r>
    </w:p>
  </w:endnote>
  <w:endnote w:type="continuationSeparator" w:id="0">
    <w:p w14:paraId="16BF5D10" w14:textId="77777777" w:rsidR="0090651B" w:rsidRDefault="0090651B">
      <w:pPr>
        <w:spacing w:line="240" w:lineRule="auto"/>
      </w:pPr>
      <w:r>
        <w:continuationSeparator/>
      </w:r>
    </w:p>
  </w:endnote>
  <w:endnote w:type="continuationNotice" w:id="1">
    <w:p w14:paraId="36C544F1" w14:textId="77777777" w:rsidR="0090651B" w:rsidRDefault="009065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Segoe Print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F8DC" w14:textId="77777777" w:rsidR="004C3FB1" w:rsidRDefault="004C3F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147036"/>
      <w:docPartObj>
        <w:docPartGallery w:val="Page Numbers (Bottom of Page)"/>
        <w:docPartUnique/>
      </w:docPartObj>
    </w:sdtPr>
    <w:sdtEndPr/>
    <w:sdtContent>
      <w:p w14:paraId="41B132FC" w14:textId="7845D2F6" w:rsidR="00615990" w:rsidRDefault="00615990">
        <w:pPr>
          <w:pStyle w:val="Rodap"/>
          <w:jc w:val="right"/>
        </w:pPr>
        <w:r>
          <w:t xml:space="preserve"> </w:t>
        </w:r>
      </w:p>
    </w:sdtContent>
  </w:sdt>
  <w:p w14:paraId="4C082243" w14:textId="1AB01C65" w:rsidR="00632AA7" w:rsidRDefault="00632AA7" w:rsidP="00F96349">
    <w:pPr>
      <w:ind w:left="-1418" w:right="-1440" w:firstLine="1418"/>
      <w:jc w:val="center"/>
      <w:rPr>
        <w:color w:val="FFFFFF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D1B8" w14:textId="77777777" w:rsidR="004C3FB1" w:rsidRDefault="004C3F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B33D" w14:textId="77777777" w:rsidR="0090651B" w:rsidRDefault="0090651B">
      <w:pPr>
        <w:spacing w:line="240" w:lineRule="auto"/>
      </w:pPr>
      <w:r>
        <w:separator/>
      </w:r>
    </w:p>
  </w:footnote>
  <w:footnote w:type="continuationSeparator" w:id="0">
    <w:p w14:paraId="46AF4766" w14:textId="77777777" w:rsidR="0090651B" w:rsidRDefault="0090651B">
      <w:pPr>
        <w:spacing w:line="240" w:lineRule="auto"/>
      </w:pPr>
      <w:r>
        <w:continuationSeparator/>
      </w:r>
    </w:p>
  </w:footnote>
  <w:footnote w:type="continuationNotice" w:id="1">
    <w:p w14:paraId="045D1AC3" w14:textId="77777777" w:rsidR="0090651B" w:rsidRDefault="009065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3D4A" w14:textId="58986AF0" w:rsidR="004C3FB1" w:rsidRDefault="004C3F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CE0" w14:textId="6A4B6C20" w:rsidR="00A830B4" w:rsidRDefault="00A830B4" w:rsidP="00A830B4">
    <w:pPr>
      <w:pStyle w:val="Cabealho"/>
    </w:pPr>
    <w:r>
      <w:t>TIMBRE DA EMPRESA</w:t>
    </w:r>
  </w:p>
  <w:p w14:paraId="7999593C" w14:textId="1760DABA" w:rsidR="00632AA7" w:rsidRPr="00A830B4" w:rsidRDefault="001C0EE1" w:rsidP="00A830B4">
    <w:pPr>
      <w:pStyle w:val="Cabealho"/>
    </w:pPr>
    <w:r w:rsidRPr="00A830B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B8B5" w14:textId="018B5069" w:rsidR="004C3FB1" w:rsidRDefault="004C3F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22F"/>
    <w:multiLevelType w:val="multilevel"/>
    <w:tmpl w:val="C468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56555"/>
    <w:multiLevelType w:val="multilevel"/>
    <w:tmpl w:val="7B3AE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45A920C4"/>
    <w:multiLevelType w:val="multilevel"/>
    <w:tmpl w:val="5172D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19452EC"/>
    <w:multiLevelType w:val="multilevel"/>
    <w:tmpl w:val="00647B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6C80987"/>
    <w:multiLevelType w:val="multilevel"/>
    <w:tmpl w:val="689205FC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002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6218109A"/>
    <w:multiLevelType w:val="multilevel"/>
    <w:tmpl w:val="0A0E1A6E"/>
    <w:lvl w:ilvl="0">
      <w:start w:val="1"/>
      <w:numFmt w:val="decimal"/>
      <w:pStyle w:val="Nivel2"/>
      <w:lvlText w:val="%1."/>
      <w:lvlJc w:val="left"/>
      <w:pPr>
        <w:tabs>
          <w:tab w:val="num" w:pos="0"/>
        </w:tabs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53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CAD65A4"/>
    <w:multiLevelType w:val="multilevel"/>
    <w:tmpl w:val="0DC81D64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73572754"/>
    <w:multiLevelType w:val="multilevel"/>
    <w:tmpl w:val="FDBE1F8C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3B245B1"/>
    <w:multiLevelType w:val="multilevel"/>
    <w:tmpl w:val="C9A0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91889">
    <w:abstractNumId w:val="0"/>
  </w:num>
  <w:num w:numId="2" w16cid:durableId="501285165">
    <w:abstractNumId w:val="8"/>
  </w:num>
  <w:num w:numId="3" w16cid:durableId="125315767">
    <w:abstractNumId w:val="4"/>
  </w:num>
  <w:num w:numId="4" w16cid:durableId="992219792">
    <w:abstractNumId w:val="5"/>
  </w:num>
  <w:num w:numId="5" w16cid:durableId="596525262">
    <w:abstractNumId w:val="3"/>
  </w:num>
  <w:num w:numId="6" w16cid:durableId="1658533575">
    <w:abstractNumId w:val="2"/>
  </w:num>
  <w:num w:numId="7" w16cid:durableId="764228858">
    <w:abstractNumId w:val="7"/>
  </w:num>
  <w:num w:numId="8" w16cid:durableId="1897928108">
    <w:abstractNumId w:val="6"/>
  </w:num>
  <w:num w:numId="9" w16cid:durableId="230652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A7"/>
    <w:rsid w:val="00002B63"/>
    <w:rsid w:val="00004A3A"/>
    <w:rsid w:val="000106F3"/>
    <w:rsid w:val="00017916"/>
    <w:rsid w:val="00034047"/>
    <w:rsid w:val="00042D6E"/>
    <w:rsid w:val="00052055"/>
    <w:rsid w:val="000560E5"/>
    <w:rsid w:val="000573E7"/>
    <w:rsid w:val="00057AE1"/>
    <w:rsid w:val="00063B91"/>
    <w:rsid w:val="000642E3"/>
    <w:rsid w:val="00067B6F"/>
    <w:rsid w:val="0007518E"/>
    <w:rsid w:val="000835D3"/>
    <w:rsid w:val="00085ED8"/>
    <w:rsid w:val="0009129C"/>
    <w:rsid w:val="00093526"/>
    <w:rsid w:val="000A1023"/>
    <w:rsid w:val="000A2212"/>
    <w:rsid w:val="000A2EAB"/>
    <w:rsid w:val="000A4B84"/>
    <w:rsid w:val="000B1A09"/>
    <w:rsid w:val="000B317B"/>
    <w:rsid w:val="000B4280"/>
    <w:rsid w:val="000B5590"/>
    <w:rsid w:val="000C1EC1"/>
    <w:rsid w:val="000D0D8B"/>
    <w:rsid w:val="000D78B5"/>
    <w:rsid w:val="000E3423"/>
    <w:rsid w:val="000E76BC"/>
    <w:rsid w:val="000F2C0C"/>
    <w:rsid w:val="000F7A17"/>
    <w:rsid w:val="00102428"/>
    <w:rsid w:val="0011372E"/>
    <w:rsid w:val="001142E0"/>
    <w:rsid w:val="00114A96"/>
    <w:rsid w:val="00116E49"/>
    <w:rsid w:val="00121949"/>
    <w:rsid w:val="00125DE8"/>
    <w:rsid w:val="00127FF1"/>
    <w:rsid w:val="00133AAA"/>
    <w:rsid w:val="0015358F"/>
    <w:rsid w:val="001548D0"/>
    <w:rsid w:val="001606AC"/>
    <w:rsid w:val="00164CA4"/>
    <w:rsid w:val="00170FCE"/>
    <w:rsid w:val="0018228F"/>
    <w:rsid w:val="00186BE4"/>
    <w:rsid w:val="001A0493"/>
    <w:rsid w:val="001B0652"/>
    <w:rsid w:val="001B07B9"/>
    <w:rsid w:val="001B1FE2"/>
    <w:rsid w:val="001B5812"/>
    <w:rsid w:val="001C0EE1"/>
    <w:rsid w:val="001C5141"/>
    <w:rsid w:val="001C6BA4"/>
    <w:rsid w:val="001D484A"/>
    <w:rsid w:val="001E4718"/>
    <w:rsid w:val="001E4C3A"/>
    <w:rsid w:val="001F28C7"/>
    <w:rsid w:val="001F7C54"/>
    <w:rsid w:val="00203917"/>
    <w:rsid w:val="00212A3B"/>
    <w:rsid w:val="00225FEA"/>
    <w:rsid w:val="00236A0F"/>
    <w:rsid w:val="0024074A"/>
    <w:rsid w:val="0024591C"/>
    <w:rsid w:val="00245F2B"/>
    <w:rsid w:val="00247813"/>
    <w:rsid w:val="002478F1"/>
    <w:rsid w:val="00250B4C"/>
    <w:rsid w:val="002602F6"/>
    <w:rsid w:val="00261335"/>
    <w:rsid w:val="00262A25"/>
    <w:rsid w:val="00264D74"/>
    <w:rsid w:val="00266DA9"/>
    <w:rsid w:val="00272629"/>
    <w:rsid w:val="00283752"/>
    <w:rsid w:val="00286495"/>
    <w:rsid w:val="00290C0A"/>
    <w:rsid w:val="002A0D4E"/>
    <w:rsid w:val="002B0002"/>
    <w:rsid w:val="002C2F2E"/>
    <w:rsid w:val="002D5351"/>
    <w:rsid w:val="002E08E6"/>
    <w:rsid w:val="002E21BC"/>
    <w:rsid w:val="002E7111"/>
    <w:rsid w:val="00303CA2"/>
    <w:rsid w:val="003108C0"/>
    <w:rsid w:val="00313CEC"/>
    <w:rsid w:val="0032017B"/>
    <w:rsid w:val="00321F7B"/>
    <w:rsid w:val="00324836"/>
    <w:rsid w:val="00336515"/>
    <w:rsid w:val="00336BF9"/>
    <w:rsid w:val="003423BB"/>
    <w:rsid w:val="003428AC"/>
    <w:rsid w:val="00342A6A"/>
    <w:rsid w:val="00344034"/>
    <w:rsid w:val="00346191"/>
    <w:rsid w:val="003477BF"/>
    <w:rsid w:val="00354E44"/>
    <w:rsid w:val="003552DA"/>
    <w:rsid w:val="00361256"/>
    <w:rsid w:val="003637CA"/>
    <w:rsid w:val="0036450C"/>
    <w:rsid w:val="003650FC"/>
    <w:rsid w:val="003658A4"/>
    <w:rsid w:val="003664CF"/>
    <w:rsid w:val="003730F8"/>
    <w:rsid w:val="0038506A"/>
    <w:rsid w:val="00393766"/>
    <w:rsid w:val="003A7CC4"/>
    <w:rsid w:val="003C163E"/>
    <w:rsid w:val="003C3AF0"/>
    <w:rsid w:val="003C7F27"/>
    <w:rsid w:val="003D3676"/>
    <w:rsid w:val="003D4503"/>
    <w:rsid w:val="003D7F9E"/>
    <w:rsid w:val="003E0B5B"/>
    <w:rsid w:val="003E3659"/>
    <w:rsid w:val="003E6A03"/>
    <w:rsid w:val="00405F83"/>
    <w:rsid w:val="00406CB5"/>
    <w:rsid w:val="004112A8"/>
    <w:rsid w:val="004148A1"/>
    <w:rsid w:val="00421D96"/>
    <w:rsid w:val="00453244"/>
    <w:rsid w:val="00464625"/>
    <w:rsid w:val="004709AE"/>
    <w:rsid w:val="00471151"/>
    <w:rsid w:val="004754E9"/>
    <w:rsid w:val="00477831"/>
    <w:rsid w:val="00482DE8"/>
    <w:rsid w:val="004A4BC7"/>
    <w:rsid w:val="004B1973"/>
    <w:rsid w:val="004B38A7"/>
    <w:rsid w:val="004C3FB1"/>
    <w:rsid w:val="004C62A2"/>
    <w:rsid w:val="004E145E"/>
    <w:rsid w:val="004E7A36"/>
    <w:rsid w:val="004F418C"/>
    <w:rsid w:val="004F6221"/>
    <w:rsid w:val="004F6486"/>
    <w:rsid w:val="004F7C9A"/>
    <w:rsid w:val="004F7F1A"/>
    <w:rsid w:val="005073B1"/>
    <w:rsid w:val="00510143"/>
    <w:rsid w:val="00524843"/>
    <w:rsid w:val="00525D66"/>
    <w:rsid w:val="0053443A"/>
    <w:rsid w:val="0053671D"/>
    <w:rsid w:val="0054033D"/>
    <w:rsid w:val="005528B6"/>
    <w:rsid w:val="005545A4"/>
    <w:rsid w:val="00555069"/>
    <w:rsid w:val="00556695"/>
    <w:rsid w:val="005615F7"/>
    <w:rsid w:val="00561F5D"/>
    <w:rsid w:val="00566850"/>
    <w:rsid w:val="00572624"/>
    <w:rsid w:val="00573954"/>
    <w:rsid w:val="005818DD"/>
    <w:rsid w:val="005827C9"/>
    <w:rsid w:val="005918AB"/>
    <w:rsid w:val="00593A09"/>
    <w:rsid w:val="00593B2E"/>
    <w:rsid w:val="0059522D"/>
    <w:rsid w:val="005A487A"/>
    <w:rsid w:val="005B781E"/>
    <w:rsid w:val="005C1019"/>
    <w:rsid w:val="005C4FF7"/>
    <w:rsid w:val="005D6062"/>
    <w:rsid w:val="005D6B6F"/>
    <w:rsid w:val="005E05B3"/>
    <w:rsid w:val="005E604D"/>
    <w:rsid w:val="005E6D66"/>
    <w:rsid w:val="005F3D39"/>
    <w:rsid w:val="005F6A5D"/>
    <w:rsid w:val="00600D92"/>
    <w:rsid w:val="00600F53"/>
    <w:rsid w:val="00612521"/>
    <w:rsid w:val="00614E50"/>
    <w:rsid w:val="00615990"/>
    <w:rsid w:val="00623163"/>
    <w:rsid w:val="0062358F"/>
    <w:rsid w:val="00632AA7"/>
    <w:rsid w:val="00641A88"/>
    <w:rsid w:val="00653AFE"/>
    <w:rsid w:val="0065781E"/>
    <w:rsid w:val="00660891"/>
    <w:rsid w:val="00661E50"/>
    <w:rsid w:val="0067620F"/>
    <w:rsid w:val="006945D4"/>
    <w:rsid w:val="006A177E"/>
    <w:rsid w:val="006A23F8"/>
    <w:rsid w:val="006B05E6"/>
    <w:rsid w:val="006B728C"/>
    <w:rsid w:val="006C0125"/>
    <w:rsid w:val="006C0295"/>
    <w:rsid w:val="006C3C00"/>
    <w:rsid w:val="006C761B"/>
    <w:rsid w:val="006D2601"/>
    <w:rsid w:val="006D681F"/>
    <w:rsid w:val="006E1D7D"/>
    <w:rsid w:val="006E4E3F"/>
    <w:rsid w:val="006E6AEC"/>
    <w:rsid w:val="006F0125"/>
    <w:rsid w:val="006F48FB"/>
    <w:rsid w:val="006F54F1"/>
    <w:rsid w:val="006F5F1A"/>
    <w:rsid w:val="006F64FD"/>
    <w:rsid w:val="006F7EA9"/>
    <w:rsid w:val="007009C4"/>
    <w:rsid w:val="007078FA"/>
    <w:rsid w:val="00710000"/>
    <w:rsid w:val="00712CBD"/>
    <w:rsid w:val="00712E0A"/>
    <w:rsid w:val="007251D9"/>
    <w:rsid w:val="00737711"/>
    <w:rsid w:val="0074245D"/>
    <w:rsid w:val="007426DB"/>
    <w:rsid w:val="00745922"/>
    <w:rsid w:val="0074641B"/>
    <w:rsid w:val="00746C1F"/>
    <w:rsid w:val="0075123A"/>
    <w:rsid w:val="007528D5"/>
    <w:rsid w:val="00757B10"/>
    <w:rsid w:val="00776255"/>
    <w:rsid w:val="00784DC4"/>
    <w:rsid w:val="00785DCE"/>
    <w:rsid w:val="007860EB"/>
    <w:rsid w:val="00787C54"/>
    <w:rsid w:val="007A2107"/>
    <w:rsid w:val="007A669B"/>
    <w:rsid w:val="007A7E26"/>
    <w:rsid w:val="007B16F9"/>
    <w:rsid w:val="007B465C"/>
    <w:rsid w:val="007B5578"/>
    <w:rsid w:val="007D01E3"/>
    <w:rsid w:val="007D6E13"/>
    <w:rsid w:val="007E4C35"/>
    <w:rsid w:val="007F0AEF"/>
    <w:rsid w:val="007F5528"/>
    <w:rsid w:val="00804006"/>
    <w:rsid w:val="008041F5"/>
    <w:rsid w:val="0081108B"/>
    <w:rsid w:val="008157C3"/>
    <w:rsid w:val="0084096D"/>
    <w:rsid w:val="00846A9A"/>
    <w:rsid w:val="00852C85"/>
    <w:rsid w:val="008555CD"/>
    <w:rsid w:val="00861A70"/>
    <w:rsid w:val="00865BE6"/>
    <w:rsid w:val="00865DFB"/>
    <w:rsid w:val="0087194A"/>
    <w:rsid w:val="008A7B4A"/>
    <w:rsid w:val="008B0872"/>
    <w:rsid w:val="008B2413"/>
    <w:rsid w:val="008B6221"/>
    <w:rsid w:val="008B6294"/>
    <w:rsid w:val="008C081A"/>
    <w:rsid w:val="008C4EAE"/>
    <w:rsid w:val="008C63A9"/>
    <w:rsid w:val="008C7919"/>
    <w:rsid w:val="008D0F44"/>
    <w:rsid w:val="008D713C"/>
    <w:rsid w:val="008D7214"/>
    <w:rsid w:val="008E3F08"/>
    <w:rsid w:val="009022B4"/>
    <w:rsid w:val="009032C0"/>
    <w:rsid w:val="009064CD"/>
    <w:rsid w:val="0090651B"/>
    <w:rsid w:val="00921EE0"/>
    <w:rsid w:val="00924928"/>
    <w:rsid w:val="009278DE"/>
    <w:rsid w:val="009329D9"/>
    <w:rsid w:val="00932B69"/>
    <w:rsid w:val="00941338"/>
    <w:rsid w:val="00944789"/>
    <w:rsid w:val="00946688"/>
    <w:rsid w:val="00955A4B"/>
    <w:rsid w:val="00957577"/>
    <w:rsid w:val="00960D5D"/>
    <w:rsid w:val="0096512C"/>
    <w:rsid w:val="00966BFC"/>
    <w:rsid w:val="009724C4"/>
    <w:rsid w:val="00980178"/>
    <w:rsid w:val="00981CD3"/>
    <w:rsid w:val="009827A8"/>
    <w:rsid w:val="00991067"/>
    <w:rsid w:val="009A3C9C"/>
    <w:rsid w:val="009A7233"/>
    <w:rsid w:val="009B6566"/>
    <w:rsid w:val="009C1559"/>
    <w:rsid w:val="009C2D5A"/>
    <w:rsid w:val="009C4A65"/>
    <w:rsid w:val="009E725C"/>
    <w:rsid w:val="009E7362"/>
    <w:rsid w:val="009F6080"/>
    <w:rsid w:val="009F68C8"/>
    <w:rsid w:val="00A0205D"/>
    <w:rsid w:val="00A02C03"/>
    <w:rsid w:val="00A04C47"/>
    <w:rsid w:val="00A0795D"/>
    <w:rsid w:val="00A13A0F"/>
    <w:rsid w:val="00A32646"/>
    <w:rsid w:val="00A36E99"/>
    <w:rsid w:val="00A43677"/>
    <w:rsid w:val="00A47C69"/>
    <w:rsid w:val="00A51A40"/>
    <w:rsid w:val="00A53293"/>
    <w:rsid w:val="00A56827"/>
    <w:rsid w:val="00A60832"/>
    <w:rsid w:val="00A62056"/>
    <w:rsid w:val="00A66992"/>
    <w:rsid w:val="00A76A4E"/>
    <w:rsid w:val="00A77EAC"/>
    <w:rsid w:val="00A830B4"/>
    <w:rsid w:val="00A8752A"/>
    <w:rsid w:val="00A94101"/>
    <w:rsid w:val="00AA2DEC"/>
    <w:rsid w:val="00AA527F"/>
    <w:rsid w:val="00AC43FE"/>
    <w:rsid w:val="00AC4502"/>
    <w:rsid w:val="00AC7B36"/>
    <w:rsid w:val="00AD07CC"/>
    <w:rsid w:val="00AD475C"/>
    <w:rsid w:val="00AE58CA"/>
    <w:rsid w:val="00AF14C6"/>
    <w:rsid w:val="00AF7027"/>
    <w:rsid w:val="00B14E48"/>
    <w:rsid w:val="00B178FE"/>
    <w:rsid w:val="00B224AC"/>
    <w:rsid w:val="00B36098"/>
    <w:rsid w:val="00B42EDD"/>
    <w:rsid w:val="00B43FDC"/>
    <w:rsid w:val="00B51816"/>
    <w:rsid w:val="00B52E7F"/>
    <w:rsid w:val="00B539F2"/>
    <w:rsid w:val="00B54C9C"/>
    <w:rsid w:val="00B5575F"/>
    <w:rsid w:val="00B57632"/>
    <w:rsid w:val="00B606F9"/>
    <w:rsid w:val="00B631E1"/>
    <w:rsid w:val="00B64F6A"/>
    <w:rsid w:val="00B720A7"/>
    <w:rsid w:val="00B7288F"/>
    <w:rsid w:val="00B747AE"/>
    <w:rsid w:val="00B81542"/>
    <w:rsid w:val="00B84B14"/>
    <w:rsid w:val="00B8611F"/>
    <w:rsid w:val="00B960C9"/>
    <w:rsid w:val="00BA7511"/>
    <w:rsid w:val="00BB4100"/>
    <w:rsid w:val="00BB4551"/>
    <w:rsid w:val="00BB4F87"/>
    <w:rsid w:val="00BB556B"/>
    <w:rsid w:val="00BC59B1"/>
    <w:rsid w:val="00BD2CF3"/>
    <w:rsid w:val="00BE4563"/>
    <w:rsid w:val="00BF43B5"/>
    <w:rsid w:val="00C0474C"/>
    <w:rsid w:val="00C207B4"/>
    <w:rsid w:val="00C30746"/>
    <w:rsid w:val="00C31A96"/>
    <w:rsid w:val="00C32A64"/>
    <w:rsid w:val="00C37D66"/>
    <w:rsid w:val="00C406ED"/>
    <w:rsid w:val="00C40BC7"/>
    <w:rsid w:val="00C42549"/>
    <w:rsid w:val="00C46A2F"/>
    <w:rsid w:val="00C62725"/>
    <w:rsid w:val="00C70E8A"/>
    <w:rsid w:val="00C8578B"/>
    <w:rsid w:val="00C85F2E"/>
    <w:rsid w:val="00C97882"/>
    <w:rsid w:val="00CB0DF1"/>
    <w:rsid w:val="00CB365B"/>
    <w:rsid w:val="00CC6612"/>
    <w:rsid w:val="00CC7DA2"/>
    <w:rsid w:val="00CD4D8A"/>
    <w:rsid w:val="00CE2F5D"/>
    <w:rsid w:val="00CE3E9B"/>
    <w:rsid w:val="00CE69EA"/>
    <w:rsid w:val="00CF3264"/>
    <w:rsid w:val="00CF3712"/>
    <w:rsid w:val="00CF5098"/>
    <w:rsid w:val="00D000A2"/>
    <w:rsid w:val="00D01AAF"/>
    <w:rsid w:val="00D0440A"/>
    <w:rsid w:val="00D10FCE"/>
    <w:rsid w:val="00D21E6A"/>
    <w:rsid w:val="00D230EB"/>
    <w:rsid w:val="00D309CA"/>
    <w:rsid w:val="00D40A88"/>
    <w:rsid w:val="00D42D5B"/>
    <w:rsid w:val="00D571BA"/>
    <w:rsid w:val="00D57B65"/>
    <w:rsid w:val="00D627E6"/>
    <w:rsid w:val="00D70FCA"/>
    <w:rsid w:val="00D71AA6"/>
    <w:rsid w:val="00D75B29"/>
    <w:rsid w:val="00D772AC"/>
    <w:rsid w:val="00D77D9B"/>
    <w:rsid w:val="00D817D0"/>
    <w:rsid w:val="00D919F0"/>
    <w:rsid w:val="00D9387C"/>
    <w:rsid w:val="00DA7035"/>
    <w:rsid w:val="00DB7C74"/>
    <w:rsid w:val="00DC4A40"/>
    <w:rsid w:val="00DD560B"/>
    <w:rsid w:val="00DE6FA2"/>
    <w:rsid w:val="00DF12DC"/>
    <w:rsid w:val="00DF1DF6"/>
    <w:rsid w:val="00DF2107"/>
    <w:rsid w:val="00DF2BB1"/>
    <w:rsid w:val="00E00743"/>
    <w:rsid w:val="00E00CAE"/>
    <w:rsid w:val="00E12DE8"/>
    <w:rsid w:val="00E13803"/>
    <w:rsid w:val="00E148E8"/>
    <w:rsid w:val="00E16326"/>
    <w:rsid w:val="00E173FF"/>
    <w:rsid w:val="00E24A7B"/>
    <w:rsid w:val="00E32A0D"/>
    <w:rsid w:val="00E456D4"/>
    <w:rsid w:val="00E464EC"/>
    <w:rsid w:val="00E6019A"/>
    <w:rsid w:val="00E653B4"/>
    <w:rsid w:val="00E65E35"/>
    <w:rsid w:val="00E67968"/>
    <w:rsid w:val="00E733DC"/>
    <w:rsid w:val="00E86D88"/>
    <w:rsid w:val="00E90EA1"/>
    <w:rsid w:val="00E942D2"/>
    <w:rsid w:val="00E95991"/>
    <w:rsid w:val="00EA5951"/>
    <w:rsid w:val="00EA7392"/>
    <w:rsid w:val="00EA7F50"/>
    <w:rsid w:val="00EB1273"/>
    <w:rsid w:val="00EB65FA"/>
    <w:rsid w:val="00EC162A"/>
    <w:rsid w:val="00ED69AD"/>
    <w:rsid w:val="00ED7233"/>
    <w:rsid w:val="00EE0822"/>
    <w:rsid w:val="00EE15BC"/>
    <w:rsid w:val="00EE67FE"/>
    <w:rsid w:val="00EF4055"/>
    <w:rsid w:val="00EF42FA"/>
    <w:rsid w:val="00F050D8"/>
    <w:rsid w:val="00F07B0B"/>
    <w:rsid w:val="00F117B3"/>
    <w:rsid w:val="00F12E4D"/>
    <w:rsid w:val="00F15DA4"/>
    <w:rsid w:val="00F25643"/>
    <w:rsid w:val="00F30340"/>
    <w:rsid w:val="00F31612"/>
    <w:rsid w:val="00F31852"/>
    <w:rsid w:val="00F42697"/>
    <w:rsid w:val="00F42736"/>
    <w:rsid w:val="00F43BBA"/>
    <w:rsid w:val="00F67736"/>
    <w:rsid w:val="00F719DA"/>
    <w:rsid w:val="00F74B71"/>
    <w:rsid w:val="00F93C08"/>
    <w:rsid w:val="00F96349"/>
    <w:rsid w:val="00FA1775"/>
    <w:rsid w:val="00FA52A9"/>
    <w:rsid w:val="00FA5396"/>
    <w:rsid w:val="00FA75C9"/>
    <w:rsid w:val="00FB11C3"/>
    <w:rsid w:val="00FB408D"/>
    <w:rsid w:val="00FB4211"/>
    <w:rsid w:val="00FB5A7D"/>
    <w:rsid w:val="00FB7266"/>
    <w:rsid w:val="00FB72FD"/>
    <w:rsid w:val="00FC390A"/>
    <w:rsid w:val="00FC62F3"/>
    <w:rsid w:val="00FD044D"/>
    <w:rsid w:val="00FD2346"/>
    <w:rsid w:val="00FD2388"/>
    <w:rsid w:val="00FD52A4"/>
    <w:rsid w:val="00FE1D55"/>
    <w:rsid w:val="00FE56AB"/>
    <w:rsid w:val="00FF2F8B"/>
    <w:rsid w:val="00FF565A"/>
    <w:rsid w:val="04943993"/>
    <w:rsid w:val="06B690B7"/>
    <w:rsid w:val="06F69182"/>
    <w:rsid w:val="0967AAB6"/>
    <w:rsid w:val="0A602F0A"/>
    <w:rsid w:val="0E3BFCA1"/>
    <w:rsid w:val="115F45BD"/>
    <w:rsid w:val="11DD60DF"/>
    <w:rsid w:val="1214F298"/>
    <w:rsid w:val="129CA918"/>
    <w:rsid w:val="1561C6BE"/>
    <w:rsid w:val="1B218C67"/>
    <w:rsid w:val="27E170ED"/>
    <w:rsid w:val="2F1DBD36"/>
    <w:rsid w:val="30E5BBEA"/>
    <w:rsid w:val="32648D37"/>
    <w:rsid w:val="3404099D"/>
    <w:rsid w:val="35B92D0D"/>
    <w:rsid w:val="36692801"/>
    <w:rsid w:val="37F48491"/>
    <w:rsid w:val="3970D3A1"/>
    <w:rsid w:val="3BA43FE7"/>
    <w:rsid w:val="3CFBAC76"/>
    <w:rsid w:val="44B9DF3C"/>
    <w:rsid w:val="4C833CC2"/>
    <w:rsid w:val="4F548475"/>
    <w:rsid w:val="5060AAA3"/>
    <w:rsid w:val="51371475"/>
    <w:rsid w:val="52FFE73E"/>
    <w:rsid w:val="5B2D9048"/>
    <w:rsid w:val="5E93196B"/>
    <w:rsid w:val="5EAE71B6"/>
    <w:rsid w:val="5ED2D9F6"/>
    <w:rsid w:val="61171F55"/>
    <w:rsid w:val="62059E8A"/>
    <w:rsid w:val="640E2688"/>
    <w:rsid w:val="66F258CC"/>
    <w:rsid w:val="6A6D4B67"/>
    <w:rsid w:val="6F69FE02"/>
    <w:rsid w:val="70E12AF0"/>
    <w:rsid w:val="71DCA967"/>
    <w:rsid w:val="7ED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4201E"/>
  <w15:docId w15:val="{23B95553-2A37-46A0-AF61-2EFAC85C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307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746"/>
  </w:style>
  <w:style w:type="paragraph" w:styleId="Rodap">
    <w:name w:val="footer"/>
    <w:basedOn w:val="Normal"/>
    <w:link w:val="RodapChar"/>
    <w:uiPriority w:val="99"/>
    <w:unhideWhenUsed/>
    <w:rsid w:val="00C307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0746"/>
  </w:style>
  <w:style w:type="paragraph" w:styleId="Textodebalo">
    <w:name w:val="Balloon Text"/>
    <w:basedOn w:val="Normal"/>
    <w:link w:val="TextodebaloChar"/>
    <w:uiPriority w:val="99"/>
    <w:semiHidden/>
    <w:unhideWhenUsed/>
    <w:rsid w:val="0033651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51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D7F9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7F9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43677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43677"/>
    <w:rPr>
      <w:rFonts w:ascii="Arial MT" w:eastAsia="Arial MT" w:hAnsi="Arial MT" w:cs="Arial MT"/>
      <w:sz w:val="24"/>
      <w:szCs w:val="24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367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3677"/>
    <w:rPr>
      <w:rFonts w:asciiTheme="minorHAnsi" w:eastAsiaTheme="minorHAnsi" w:hAnsiTheme="minorHAnsi" w:cstheme="minorBidi"/>
      <w:lang w:eastAsia="en-US"/>
    </w:rPr>
  </w:style>
  <w:style w:type="paragraph" w:customStyle="1" w:styleId="WW-Corpodetexto2">
    <w:name w:val="WW-Corpo de texto 2"/>
    <w:basedOn w:val="Normal"/>
    <w:rsid w:val="00A43677"/>
    <w:pPr>
      <w:spacing w:before="120" w:after="120" w:line="260" w:lineRule="atLeast"/>
      <w:jc w:val="both"/>
    </w:pPr>
    <w:rPr>
      <w:rFonts w:ascii="Times New Roman" w:eastAsia="Times New Roman" w:hAnsi="Times New Roman" w:cs="Times New Roman"/>
      <w:sz w:val="24"/>
      <w:szCs w:val="20"/>
      <w:lang w:bidi="pt-BR"/>
    </w:rPr>
  </w:style>
  <w:style w:type="table" w:styleId="Tabelacomgrade">
    <w:name w:val="Table Grid"/>
    <w:basedOn w:val="Tabelanormal"/>
    <w:uiPriority w:val="39"/>
    <w:qFormat/>
    <w:rsid w:val="007528D5"/>
    <w:pPr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oChar">
    <w:name w:val="Citação Char"/>
    <w:basedOn w:val="Fontepargpadro"/>
    <w:link w:val="Citao"/>
    <w:qFormat/>
    <w:rsid w:val="00E00CAE"/>
    <w:rPr>
      <w:rFonts w:eastAsia="Calibri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E00CAE"/>
    <w:rPr>
      <w:rFonts w:eastAsiaTheme="majorEastAsia" w:cs="Times New Roman"/>
      <w:bCs/>
      <w:color w:val="000000"/>
      <w:sz w:val="20"/>
      <w:szCs w:val="20"/>
      <w:lang w:bidi="hi-IN"/>
    </w:rPr>
  </w:style>
  <w:style w:type="character" w:styleId="Refdecomentrio">
    <w:name w:val="annotation reference"/>
    <w:basedOn w:val="Fontepargpadro"/>
    <w:unhideWhenUsed/>
    <w:qFormat/>
    <w:rsid w:val="00E00C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E00CAE"/>
    <w:rPr>
      <w:rFonts w:eastAsia="Times New Roman" w:cs="Tahoma"/>
      <w:sz w:val="20"/>
      <w:szCs w:val="20"/>
    </w:rPr>
  </w:style>
  <w:style w:type="character" w:customStyle="1" w:styleId="LinkdaInternet">
    <w:name w:val="Link da Internet"/>
    <w:rsid w:val="00E00CAE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E00C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line="240" w:lineRule="auto"/>
      <w:jc w:val="both"/>
    </w:pPr>
    <w:rPr>
      <w:rFonts w:eastAsia="Calibri" w:cs="Tahoma"/>
      <w:i/>
      <w:iCs/>
      <w:color w:val="000000"/>
      <w:sz w:val="20"/>
      <w:szCs w:val="24"/>
    </w:rPr>
  </w:style>
  <w:style w:type="character" w:customStyle="1" w:styleId="CitaoCarter1">
    <w:name w:val="Citação Caráter1"/>
    <w:basedOn w:val="Fontepargpadro"/>
    <w:uiPriority w:val="29"/>
    <w:rsid w:val="00E00CAE"/>
    <w:rPr>
      <w:i/>
      <w:iCs/>
      <w:color w:val="404040" w:themeColor="text1" w:themeTint="BF"/>
    </w:rPr>
  </w:style>
  <w:style w:type="paragraph" w:customStyle="1" w:styleId="Nivel01">
    <w:name w:val="Nivel 01"/>
    <w:basedOn w:val="Ttulo1"/>
    <w:next w:val="Normal"/>
    <w:link w:val="Nivel01Char"/>
    <w:qFormat/>
    <w:rsid w:val="00E00CAE"/>
    <w:pPr>
      <w:keepNext w:val="0"/>
      <w:keepLines w:val="0"/>
      <w:tabs>
        <w:tab w:val="num" w:pos="0"/>
      </w:tabs>
      <w:suppressAutoHyphens/>
      <w:spacing w:before="480"/>
      <w:ind w:left="360" w:right="-15" w:hanging="360"/>
      <w:jc w:val="both"/>
      <w:textAlignment w:val="baseline"/>
    </w:pPr>
    <w:rPr>
      <w:rFonts w:eastAsiaTheme="majorEastAsia" w:cs="Times New Roman"/>
      <w:bCs/>
      <w:color w:val="000000"/>
      <w:sz w:val="20"/>
      <w:szCs w:val="20"/>
      <w:lang w:bidi="hi-IN"/>
    </w:rPr>
  </w:style>
  <w:style w:type="paragraph" w:customStyle="1" w:styleId="PADRO">
    <w:name w:val="PADRÃO"/>
    <w:qFormat/>
    <w:rsid w:val="00E00CAE"/>
    <w:pPr>
      <w:keepNext/>
      <w:widowControl w:val="0"/>
      <w:shd w:val="clear" w:color="auto" w:fill="FFFFFF"/>
      <w:suppressAutoHyphens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00CAE"/>
    <w:pPr>
      <w:suppressAutoHyphens/>
      <w:spacing w:line="240" w:lineRule="auto"/>
      <w:ind w:left="720"/>
      <w:contextualSpacing/>
    </w:pPr>
    <w:rPr>
      <w:rFonts w:eastAsia="Times New Roman" w:cs="Tahoma"/>
      <w:sz w:val="20"/>
      <w:szCs w:val="24"/>
    </w:rPr>
  </w:style>
  <w:style w:type="paragraph" w:styleId="Textodecomentrio">
    <w:name w:val="annotation text"/>
    <w:basedOn w:val="Normal"/>
    <w:link w:val="TextodecomentrioChar"/>
    <w:unhideWhenUsed/>
    <w:qFormat/>
    <w:rsid w:val="00E00CAE"/>
    <w:pPr>
      <w:suppressAutoHyphens/>
      <w:spacing w:line="240" w:lineRule="auto"/>
    </w:pPr>
    <w:rPr>
      <w:rFonts w:eastAsia="Times New Roman" w:cs="Tahoma"/>
      <w:sz w:val="20"/>
      <w:szCs w:val="20"/>
    </w:rPr>
  </w:style>
  <w:style w:type="character" w:customStyle="1" w:styleId="TextodecomentrioCarter1">
    <w:name w:val="Texto de comentário Caráter1"/>
    <w:basedOn w:val="Fontepargpadro"/>
    <w:uiPriority w:val="99"/>
    <w:semiHidden/>
    <w:rsid w:val="00E00CAE"/>
    <w:rPr>
      <w:sz w:val="20"/>
      <w:szCs w:val="20"/>
    </w:rPr>
  </w:style>
  <w:style w:type="paragraph" w:customStyle="1" w:styleId="Nivel2">
    <w:name w:val="Nivel 2"/>
    <w:link w:val="Nivel2Char"/>
    <w:qFormat/>
    <w:rsid w:val="00E00CAE"/>
    <w:pPr>
      <w:numPr>
        <w:numId w:val="4"/>
      </w:numPr>
      <w:suppressAutoHyphens/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CA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E00CAE"/>
    <w:pPr>
      <w:tabs>
        <w:tab w:val="left" w:pos="440"/>
        <w:tab w:val="right" w:leader="dot" w:pos="8494"/>
      </w:tabs>
      <w:suppressAutoHyphens/>
      <w:spacing w:after="100" w:line="240" w:lineRule="auto"/>
    </w:pPr>
    <w:rPr>
      <w:rFonts w:eastAsia="Times New Roman" w:cs="Tahoma"/>
      <w:sz w:val="20"/>
      <w:szCs w:val="24"/>
    </w:rPr>
  </w:style>
  <w:style w:type="character" w:customStyle="1" w:styleId="Nivel2Char">
    <w:name w:val="Nivel 2 Char"/>
    <w:basedOn w:val="Fontepargpadro"/>
    <w:link w:val="Nivel2"/>
    <w:locked/>
    <w:rsid w:val="00E00CAE"/>
    <w:rPr>
      <w:rFonts w:ascii="Ecofont_Spranq_eco_Sans" w:eastAsia="Arial Unicode MS" w:hAnsi="Ecofont_Spranq_eco_Sans" w:cs="Times New Roman"/>
      <w:sz w:val="20"/>
      <w:szCs w:val="20"/>
    </w:rPr>
  </w:style>
  <w:style w:type="paragraph" w:customStyle="1" w:styleId="Nvel3-R">
    <w:name w:val="Nível 3-R"/>
    <w:basedOn w:val="Normal"/>
    <w:qFormat/>
    <w:rsid w:val="00E00CAE"/>
    <w:pPr>
      <w:tabs>
        <w:tab w:val="num" w:pos="0"/>
      </w:tabs>
      <w:spacing w:before="120" w:after="120"/>
      <w:ind w:left="284"/>
      <w:jc w:val="both"/>
    </w:pPr>
    <w:rPr>
      <w:rFonts w:eastAsiaTheme="minorEastAsia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E00CAE"/>
    <w:pPr>
      <w:tabs>
        <w:tab w:val="num" w:pos="0"/>
      </w:tabs>
      <w:spacing w:before="120" w:after="120"/>
      <w:ind w:left="567"/>
      <w:jc w:val="both"/>
    </w:pPr>
    <w:rPr>
      <w:rFonts w:eastAsiaTheme="minorEastAsia"/>
      <w:i/>
      <w:iCs/>
      <w:color w:val="FF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D78B5"/>
    <w:rPr>
      <w:color w:val="800080" w:themeColor="followedHyperlink"/>
      <w:u w:val="single"/>
    </w:rPr>
  </w:style>
  <w:style w:type="table" w:styleId="TabeladeGradeClara">
    <w:name w:val="Grid Table Light"/>
    <w:basedOn w:val="Tabelanormal"/>
    <w:uiPriority w:val="40"/>
    <w:rsid w:val="00042D6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042D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042D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042D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C9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97882"/>
  </w:style>
  <w:style w:type="character" w:customStyle="1" w:styleId="eop">
    <w:name w:val="eop"/>
    <w:basedOn w:val="Fontepargpadro"/>
    <w:rsid w:val="00C9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811D62BEA204CADD5C9990F4C2291" ma:contentTypeVersion="19" ma:contentTypeDescription="Crie um novo documento." ma:contentTypeScope="" ma:versionID="fa944f3870c72be0856ea89e1d028229">
  <xsd:schema xmlns:xsd="http://www.w3.org/2001/XMLSchema" xmlns:xs="http://www.w3.org/2001/XMLSchema" xmlns:p="http://schemas.microsoft.com/office/2006/metadata/properties" xmlns:ns2="9290ad77-7f4c-45b4-8d4e-08c7d40680b5" xmlns:ns3="606b262c-e107-4707-99a6-c2612fc1410f" targetNamespace="http://schemas.microsoft.com/office/2006/metadata/properties" ma:root="true" ma:fieldsID="a39fe7cdf428fc884f047977416fa962" ns2:_="" ns3:_="">
    <xsd:import namespace="9290ad77-7f4c-45b4-8d4e-08c7d40680b5"/>
    <xsd:import namespace="606b262c-e107-4707-99a6-c2612fc14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ad77-7f4c-45b4-8d4e-08c7d40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a215e0-ee79-46ea-81ed-f2a1c10d8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262c-e107-4707-99a6-c2612fc14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2fd46-c609-41d4-82c0-9b094e3000de}" ma:internalName="TaxCatchAll" ma:showField="CatchAllData" ma:web="606b262c-e107-4707-99a6-c2612fc14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90ad77-7f4c-45b4-8d4e-08c7d40680b5" xsi:nil="true"/>
    <lcf76f155ced4ddcb4097134ff3c332f xmlns="9290ad77-7f4c-45b4-8d4e-08c7d40680b5">
      <Terms xmlns="http://schemas.microsoft.com/office/infopath/2007/PartnerControls"/>
    </lcf76f155ced4ddcb4097134ff3c332f>
    <TaxCatchAll xmlns="606b262c-e107-4707-99a6-c2612fc1410f" xsi:nil="true"/>
  </documentManagement>
</p:properties>
</file>

<file path=customXml/itemProps1.xml><?xml version="1.0" encoding="utf-8"?>
<ds:datastoreItem xmlns:ds="http://schemas.openxmlformats.org/officeDocument/2006/customXml" ds:itemID="{1DCA67A4-CAC4-4FD6-BC0E-BC0C5DBC1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082D3-BFD9-4795-BE61-F51EB835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0ad77-7f4c-45b4-8d4e-08c7d40680b5"/>
    <ds:schemaRef ds:uri="606b262c-e107-4707-99a6-c2612fc14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2D622-970C-4031-B1A5-C26834A9C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AC3C0-5821-4E55-AA9A-3ED4B3E89133}">
  <ds:schemaRefs>
    <ds:schemaRef ds:uri="http://schemas.microsoft.com/office/2006/metadata/properties"/>
    <ds:schemaRef ds:uri="http://schemas.microsoft.com/office/infopath/2007/PartnerControls"/>
    <ds:schemaRef ds:uri="9290ad77-7f4c-45b4-8d4e-08c7d40680b5"/>
    <ds:schemaRef ds:uri="606b262c-e107-4707-99a6-c2612fc14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Lelê Espiga</cp:lastModifiedBy>
  <cp:revision>283</cp:revision>
  <cp:lastPrinted>2025-07-08T14:36:00Z</cp:lastPrinted>
  <dcterms:created xsi:type="dcterms:W3CDTF">2022-12-08T12:43:00Z</dcterms:created>
  <dcterms:modified xsi:type="dcterms:W3CDTF">2025-07-14T14:06:00Z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0x010100C66811D62BEA204CADD5C9990F4C2291</vt:lpwstr>
  </property>
  <property fmtid="{D5CDD505-2E9C-101B-9397-08002B2CF9AE}" pid="3" name="MediaServiceImageTags">
    <vt:lpwstr/>
  </property>
</Properties>
</file>