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tabs>
          <w:tab w:val="left" w:pos="1328"/>
        </w:tabs>
        <w:spacing w:before="1"/>
        <w:ind w:right="424" w:firstLine="660" w:firstLineChars="275"/>
        <w:jc w:val="both"/>
        <w:rPr>
          <w:rFonts w:hint="default"/>
          <w:sz w:val="24"/>
          <w:lang w:val="pt-BR"/>
        </w:rPr>
      </w:pPr>
    </w:p>
    <w:p>
      <w:pPr>
        <w:pStyle w:val="17"/>
        <w:tabs>
          <w:tab w:val="left" w:pos="1328"/>
        </w:tabs>
        <w:spacing w:before="1"/>
        <w:ind w:right="424" w:firstLine="660" w:firstLineChars="275"/>
        <w:jc w:val="center"/>
        <w:rPr>
          <w:rFonts w:hint="default" w:ascii="Times New Roman" w:hAnsi="Times New Roman" w:cs="Times New Roman"/>
          <w:b/>
          <w:bCs/>
          <w:sz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lang w:val="pt-BR"/>
        </w:rPr>
        <w:t>ANEXO VII</w:t>
      </w:r>
      <w:bookmarkStart w:id="1" w:name="_GoBack"/>
      <w:bookmarkEnd w:id="1"/>
    </w:p>
    <w:p>
      <w:pPr>
        <w:jc w:val="center"/>
        <w:rPr>
          <w:rFonts w:ascii="Arial" w:hAnsi="Arial" w:cs="Arial"/>
          <w:b/>
          <w:u w:val="single"/>
        </w:rPr>
      </w:pPr>
    </w:p>
    <w:p>
      <w:pPr>
        <w:jc w:val="center"/>
        <w:rPr>
          <w:rFonts w:ascii="Arial" w:hAnsi="Arial" w:cs="Arial"/>
          <w:b/>
          <w:u w:val="single"/>
        </w:rPr>
      </w:pPr>
    </w:p>
    <w:p>
      <w:pPr>
        <w:pStyle w:val="29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Instrumento de Medição de Resultado – IMR (Anexo V-B da IN SEGES/MP 05/2017)</w:t>
      </w: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CONSELHO REGIONAL DE ENFERMAGEM DE </w:t>
      </w:r>
      <w:r>
        <w:rPr>
          <w:rFonts w:hint="default" w:ascii="Arial" w:hAnsi="Arial" w:cs="Arial"/>
          <w:b/>
          <w:lang w:val="pt-BR"/>
        </w:rPr>
        <w:t>MATO GROSSO</w:t>
      </w:r>
      <w:r>
        <w:rPr>
          <w:rFonts w:ascii="Arial" w:hAnsi="Arial" w:cs="Arial"/>
          <w:b/>
        </w:rPr>
        <w:t xml:space="preserve"> – COREN/M</w:t>
      </w:r>
      <w:r>
        <w:rPr>
          <w:rFonts w:hint="default" w:ascii="Arial" w:hAnsi="Arial" w:cs="Arial"/>
          <w:b/>
          <w:lang w:val="pt-BR"/>
        </w:rPr>
        <w:t>T</w:t>
      </w:r>
    </w:p>
    <w:p>
      <w:pPr>
        <w:jc w:val="center"/>
        <w:rPr>
          <w:rFonts w:ascii="Arial" w:hAnsi="Arial" w:cs="Arial"/>
          <w:b/>
        </w:rPr>
      </w:pPr>
      <w:bookmarkStart w:id="0" w:name="_Hlk6494855"/>
    </w:p>
    <w:p>
      <w:pPr>
        <w:jc w:val="center"/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PREGÃO Nº </w:t>
      </w:r>
      <w:r>
        <w:rPr>
          <w:rFonts w:hint="default" w:ascii="Arial" w:hAnsi="Arial" w:cs="Arial"/>
          <w:b/>
          <w:lang w:val="pt-BR"/>
        </w:rPr>
        <w:t>90003/2024</w:t>
      </w:r>
      <w:r>
        <w:rPr>
          <w:rFonts w:ascii="Arial" w:hAnsi="Arial" w:cs="Arial"/>
          <w:b/>
        </w:rPr>
        <w:t xml:space="preserve"> - </w:t>
      </w:r>
      <w:bookmarkEnd w:id="0"/>
      <w:r>
        <w:rPr>
          <w:rFonts w:ascii="Arial" w:hAnsi="Arial" w:cs="Arial"/>
          <w:b/>
        </w:rPr>
        <w:t>PROCESSO N°</w:t>
      </w:r>
      <w:r>
        <w:rPr>
          <w:rFonts w:hint="default" w:ascii="Arial" w:hAnsi="Arial" w:cs="Arial"/>
          <w:b/>
          <w:lang w:val="pt-BR"/>
        </w:rPr>
        <w:t>08/2024</w:t>
      </w:r>
    </w:p>
    <w:p>
      <w:pPr>
        <w:pStyle w:val="29"/>
        <w:rPr>
          <w:rFonts w:ascii="Arial" w:hAnsi="Arial" w:cs="Arial"/>
          <w:sz w:val="20"/>
          <w:u w:val="single"/>
        </w:rPr>
      </w:pPr>
    </w:p>
    <w:p>
      <w:pPr>
        <w:pStyle w:val="29"/>
        <w:rPr>
          <w:rFonts w:ascii="Arial" w:hAnsi="Arial" w:cs="Arial"/>
          <w:sz w:val="20"/>
          <w:u w:val="single"/>
        </w:rPr>
      </w:pPr>
    </w:p>
    <w:p>
      <w:pPr>
        <w:pStyle w:val="29"/>
        <w:numPr>
          <w:ilvl w:val="0"/>
          <w:numId w:val="2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Para a avaliação da qualidade dos serviços prestados a fiscalização do contrato utilizará os indicadores descritos nos quadros a seguir:</w:t>
      </w:r>
    </w:p>
    <w:p>
      <w:pPr>
        <w:pStyle w:val="29"/>
        <w:ind w:left="720"/>
        <w:rPr>
          <w:rFonts w:ascii="Arial" w:hAnsi="Arial" w:cs="Arial"/>
          <w:bCs/>
          <w:sz w:val="20"/>
        </w:rPr>
      </w:pPr>
    </w:p>
    <w:p>
      <w:pPr>
        <w:pStyle w:val="29"/>
        <w:numPr>
          <w:ilvl w:val="1"/>
          <w:numId w:val="2"/>
        </w:numPr>
        <w:ind w:firstLine="709"/>
        <w:rPr>
          <w:rFonts w:ascii="Arial" w:hAnsi="Arial" w:eastAsia="Calibri" w:cs="Arial"/>
          <w:b/>
          <w:bCs/>
          <w:color w:val="000000"/>
          <w:sz w:val="20"/>
          <w:lang w:eastAsia="en-US"/>
        </w:rPr>
      </w:pPr>
      <w:r>
        <w:rPr>
          <w:rFonts w:ascii="Arial" w:hAnsi="Arial" w:eastAsia="Calibri" w:cs="Arial"/>
          <w:b/>
          <w:bCs/>
          <w:color w:val="000000"/>
          <w:sz w:val="20"/>
          <w:lang w:eastAsia="en-US"/>
        </w:rPr>
        <w:t xml:space="preserve">Definição: </w:t>
      </w:r>
      <w:r>
        <w:rPr>
          <w:rFonts w:ascii="Arial" w:hAnsi="Arial" w:eastAsia="Calibri" w:cs="Arial"/>
          <w:bCs/>
          <w:color w:val="000000"/>
          <w:sz w:val="20"/>
          <w:lang w:eastAsia="en-US"/>
        </w:rPr>
        <w:t xml:space="preserve">Instrumento de Medição de Resultado é o mecanismo que define, em bases compreensíveis, tangíveis, objetivamente observáveis e comprováveis, os níveis esperados de qualidade da prestação dos serviços e respectivas adequações de pagamento. </w:t>
      </w:r>
    </w:p>
    <w:p>
      <w:pPr>
        <w:pStyle w:val="29"/>
        <w:ind w:left="1789"/>
        <w:rPr>
          <w:rFonts w:ascii="Arial" w:hAnsi="Arial" w:eastAsia="Calibri" w:cs="Arial"/>
          <w:b/>
          <w:bCs/>
          <w:color w:val="000000"/>
          <w:sz w:val="20"/>
          <w:lang w:eastAsia="en-US"/>
        </w:rPr>
      </w:pPr>
    </w:p>
    <w:p>
      <w:pPr>
        <w:pStyle w:val="29"/>
        <w:numPr>
          <w:ilvl w:val="1"/>
          <w:numId w:val="2"/>
        </w:numPr>
        <w:ind w:firstLine="709"/>
        <w:rPr>
          <w:rFonts w:ascii="Arial" w:hAnsi="Arial" w:eastAsia="Calibri" w:cs="Arial"/>
          <w:bCs/>
          <w:color w:val="000000"/>
          <w:sz w:val="20"/>
          <w:lang w:eastAsia="en-US"/>
        </w:rPr>
      </w:pPr>
      <w:r>
        <w:rPr>
          <w:rFonts w:ascii="Arial" w:hAnsi="Arial" w:eastAsia="Calibri" w:cs="Arial"/>
          <w:b/>
          <w:bCs/>
          <w:color w:val="000000"/>
          <w:sz w:val="20"/>
          <w:lang w:eastAsia="en-US"/>
        </w:rPr>
        <w:t xml:space="preserve">Objetivo a atingir: </w:t>
      </w:r>
      <w:r>
        <w:rPr>
          <w:rFonts w:ascii="Arial" w:hAnsi="Arial" w:eastAsia="Calibri" w:cs="Arial"/>
          <w:bCs/>
          <w:color w:val="000000"/>
          <w:sz w:val="20"/>
          <w:lang w:eastAsia="en-US"/>
        </w:rPr>
        <w:t>prestação do serviço em elevados níveis de qualidade, para fins de eficiência e economicidade.</w:t>
      </w:r>
      <w:r>
        <w:rPr>
          <w:rFonts w:ascii="Arial" w:hAnsi="Arial" w:eastAsia="Calibri" w:cs="Arial"/>
          <w:b/>
          <w:bCs/>
          <w:color w:val="000000"/>
          <w:sz w:val="20"/>
          <w:lang w:eastAsia="en-US"/>
        </w:rPr>
        <w:t xml:space="preserve">  </w:t>
      </w:r>
    </w:p>
    <w:p>
      <w:pPr>
        <w:pStyle w:val="16"/>
        <w:rPr>
          <w:rFonts w:ascii="Arial" w:hAnsi="Arial" w:eastAsia="Calibri" w:cs="Arial"/>
          <w:bCs/>
          <w:color w:val="000000"/>
          <w:lang w:eastAsia="en-US"/>
        </w:rPr>
      </w:pPr>
    </w:p>
    <w:p>
      <w:pPr>
        <w:pStyle w:val="29"/>
        <w:ind w:left="1789"/>
        <w:rPr>
          <w:rFonts w:ascii="Arial" w:hAnsi="Arial" w:eastAsia="Calibri" w:cs="Arial"/>
          <w:bCs/>
          <w:color w:val="000000"/>
          <w:sz w:val="20"/>
          <w:lang w:eastAsia="en-US"/>
        </w:rPr>
      </w:pPr>
    </w:p>
    <w:p>
      <w:pPr>
        <w:pStyle w:val="29"/>
        <w:numPr>
          <w:ilvl w:val="1"/>
          <w:numId w:val="2"/>
        </w:numPr>
        <w:ind w:firstLine="709"/>
        <w:rPr>
          <w:rFonts w:ascii="Arial" w:hAnsi="Arial" w:eastAsia="Calibri" w:cs="Arial"/>
          <w:bCs/>
          <w:color w:val="000000"/>
          <w:sz w:val="20"/>
          <w:lang w:eastAsia="en-US"/>
        </w:rPr>
      </w:pPr>
      <w:r>
        <w:rPr>
          <w:rFonts w:ascii="Arial" w:hAnsi="Arial" w:eastAsia="Calibri" w:cs="Arial"/>
          <w:b/>
          <w:bCs/>
          <w:color w:val="000000"/>
          <w:sz w:val="20"/>
          <w:lang w:eastAsia="en-US"/>
        </w:rPr>
        <w:t xml:space="preserve">Forma de avaliação: </w:t>
      </w:r>
      <w:r>
        <w:rPr>
          <w:rFonts w:ascii="Arial" w:hAnsi="Arial" w:eastAsia="Calibri" w:cs="Arial"/>
          <w:bCs/>
          <w:color w:val="000000"/>
          <w:sz w:val="20"/>
          <w:lang w:eastAsia="en-US"/>
        </w:rPr>
        <w:t xml:space="preserve">definição de situações (indicadores) que caracterizem o não atingimento do objetivo, e atribuição de grau de correspondência de 1 a 6, de acordo com os Indicativos de metas a cumprir, compreendendo descontos de 1% a 10% do valor mensal contratado.  </w:t>
      </w:r>
    </w:p>
    <w:p>
      <w:pPr>
        <w:pStyle w:val="29"/>
        <w:ind w:left="1789"/>
        <w:rPr>
          <w:rFonts w:ascii="Arial" w:hAnsi="Arial" w:eastAsia="Calibri" w:cs="Arial"/>
          <w:bCs/>
          <w:color w:val="000000"/>
          <w:sz w:val="20"/>
          <w:lang w:eastAsia="en-US"/>
        </w:rPr>
      </w:pPr>
    </w:p>
    <w:p>
      <w:pPr>
        <w:pStyle w:val="29"/>
        <w:numPr>
          <w:ilvl w:val="1"/>
          <w:numId w:val="2"/>
        </w:numPr>
        <w:ind w:firstLine="709"/>
        <w:rPr>
          <w:rFonts w:ascii="Arial" w:hAnsi="Arial" w:eastAsia="Calibri" w:cs="Arial"/>
          <w:color w:val="000000"/>
          <w:sz w:val="20"/>
          <w:lang w:eastAsia="en-US"/>
        </w:rPr>
      </w:pPr>
      <w:r>
        <w:rPr>
          <w:rFonts w:ascii="Arial" w:hAnsi="Arial" w:eastAsia="Calibri" w:cs="Arial"/>
          <w:color w:val="000000"/>
          <w:sz w:val="20"/>
          <w:lang w:eastAsia="en-US"/>
        </w:rPr>
        <w:t>Apuração do valor a ser deduzido, em função do grau de falha:</w:t>
      </w:r>
    </w:p>
    <w:p>
      <w:pPr>
        <w:pStyle w:val="16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color w:val="00000A"/>
        </w:rPr>
      </w:pPr>
    </w:p>
    <w:tbl>
      <w:tblPr>
        <w:tblStyle w:val="6"/>
        <w:tblW w:w="9180" w:type="dxa"/>
        <w:tblInd w:w="-1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1950"/>
        <w:gridCol w:w="7230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19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GRAU</w:t>
            </w:r>
          </w:p>
        </w:tc>
        <w:tc>
          <w:tcPr>
            <w:tcW w:w="72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CORRESPONDÊNCIA</w:t>
            </w:r>
          </w:p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19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2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1 % do valor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19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2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2 % do valor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19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2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4 % do valor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19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2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6 % do valor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19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2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8 % do valor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19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72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10 % do valor do contrato</w:t>
            </w:r>
          </w:p>
        </w:tc>
      </w:tr>
    </w:tbl>
    <w:p>
      <w:pPr>
        <w:jc w:val="both"/>
        <w:rPr>
          <w:rFonts w:ascii="Arial" w:hAnsi="Arial" w:eastAsia="Calibri" w:cs="Arial"/>
          <w:b/>
          <w:bCs/>
          <w:color w:val="000000"/>
          <w:lang w:eastAsia="en-US"/>
        </w:rPr>
      </w:pPr>
    </w:p>
    <w:p>
      <w:pPr>
        <w:pStyle w:val="16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eastAsia="Calibri" w:cs="Arial"/>
          <w:color w:val="000000"/>
          <w:lang w:eastAsia="en-US"/>
        </w:rPr>
      </w:pPr>
      <w:r>
        <w:rPr>
          <w:rFonts w:ascii="Arial" w:hAnsi="Arial" w:eastAsia="Calibri" w:cs="Arial"/>
          <w:color w:val="000000"/>
          <w:lang w:eastAsia="en-US"/>
        </w:rPr>
        <w:t>Descontos x sanções administrativas: embora a aplicação de índices aos indicativos seja instrumento de gestão contratual, não configurando sanção, a Administração da Contratante poderá, pelo nível crítico de qualidade insuficiente em qualquer dos indicativos, aplicar as penalidades previstas em contrato, ficando desde já estabelecido que, quando o percentual de descontos  no mês for superior a 10% (dez por cento), poderá restar caracterizada inexecução parcial do contrato, o que implicará na abertura de procedimento de aplicação de sanção administrativa, nos termos da Lei e do Contrato, observada o contraditório e ampla defesa.</w:t>
      </w:r>
    </w:p>
    <w:p>
      <w:pPr>
        <w:autoSpaceDE w:val="0"/>
        <w:autoSpaceDN w:val="0"/>
        <w:adjustRightInd w:val="0"/>
        <w:rPr>
          <w:rFonts w:ascii="Arial" w:hAnsi="Arial" w:cs="Arial"/>
          <w:color w:val="00000A"/>
        </w:rPr>
      </w:pPr>
    </w:p>
    <w:p>
      <w:pPr>
        <w:rPr>
          <w:rFonts w:ascii="Arial" w:hAnsi="Arial" w:eastAsia="Calibri" w:cs="Arial"/>
          <w:b/>
          <w:bCs/>
          <w:color w:val="000000"/>
          <w:lang w:eastAsia="en-US"/>
        </w:rPr>
      </w:pPr>
    </w:p>
    <w:p>
      <w:pPr>
        <w:rPr>
          <w:rFonts w:ascii="Arial" w:hAnsi="Arial" w:eastAsia="Calibri" w:cs="Arial"/>
          <w:b/>
          <w:bCs/>
          <w:color w:val="000000"/>
          <w:lang w:eastAsia="en-US"/>
        </w:rPr>
      </w:pPr>
    </w:p>
    <w:p>
      <w:pPr>
        <w:rPr>
          <w:rFonts w:ascii="Arial" w:hAnsi="Arial" w:cs="Arial"/>
        </w:rPr>
      </w:pPr>
      <w:r>
        <w:rPr>
          <w:rFonts w:ascii="Arial" w:hAnsi="Arial" w:eastAsia="Calibri" w:cs="Arial"/>
          <w:b/>
          <w:bCs/>
          <w:color w:val="000000"/>
          <w:lang w:eastAsia="en-US"/>
        </w:rPr>
        <w:t xml:space="preserve">2.1 </w:t>
      </w:r>
      <w:r>
        <w:rPr>
          <w:rFonts w:ascii="Arial" w:hAnsi="Arial" w:eastAsia="Calibri" w:cs="Arial"/>
          <w:color w:val="000000"/>
          <w:lang w:eastAsia="en-US"/>
        </w:rPr>
        <w:t>TABELA 01: Especificação da falha e do respectivo grau em que se enquadra:</w:t>
      </w:r>
      <w:r>
        <w:rPr>
          <w:rFonts w:ascii="Arial" w:hAnsi="Arial" w:cs="Arial"/>
        </w:rPr>
        <w:t xml:space="preserve"> 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6"/>
        <w:tblW w:w="9124" w:type="dxa"/>
        <w:tblInd w:w="-1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52"/>
        <w:gridCol w:w="4964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9124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INFRAÇÃO</w:t>
            </w:r>
          </w:p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ITEM</w:t>
            </w: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GRAU INCIDÊNCIA</w:t>
            </w:r>
          </w:p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Não zelar pelo sigilo absoluto das informações que tiver acesso, deixando ter acesso ou repassando-as a terceiros, ou utilizando-as para outra finalidade senão a impressão de dados.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 xml:space="preserve">Grau -  6 – 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>Por ocorrência, sem prejuízo da possibilidade de rescisão do contrato.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Suspender ou interromper, total ou parcial, salvo motivo de força maior ou caso fortuito,  os serviços contratuais.</w:t>
            </w:r>
          </w:p>
          <w:p>
            <w:pPr>
              <w:jc w:val="both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 - 6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 - 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Transferir a outrem, no todo ou em parte, o objeto da presente contratação, salvo mediante prévia autorização do gestor da contratação.</w:t>
            </w:r>
          </w:p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- 5 -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Por ocorrência, sem prejuízo da possibilidade de rescisão do contrato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Utilizar as dependências da CONTRATANTE para fins diversos do objeto do contrato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- 4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-  por ocorrência</w:t>
            </w:r>
          </w:p>
          <w:p>
            <w:pPr>
              <w:jc w:val="both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Destruir ou danificar bens materiais ou documentos por culpa ou dolo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16"/>
              <w:ind w:left="0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- 3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- por ocorrência</w:t>
            </w:r>
          </w:p>
          <w:p>
            <w:pPr>
              <w:jc w:val="both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24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PARA OS ITENS 06 a 17 - DEIXAR DE: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ITEM</w:t>
            </w:r>
          </w:p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GRAU INCIDÊNCIA</w:t>
            </w:r>
          </w:p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Cumprir os prazos para a execução do serviço (repasse dos valores arrecadados):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  <w:p>
            <w:pPr>
              <w:jc w:val="both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a) até 01 dia de atraso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-  1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– Por ocorrência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b) até 02 dias de atraso 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 - 2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 -  Por ocorrência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c) até 03 dias de atraso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 - 3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-   Por ocorrência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d) até 05 dias de atraso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-  4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-  por ocorrência</w:t>
            </w:r>
          </w:p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e) até 07 dias de atraso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- 5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- Por ocorrência, sem prejuízo da possibilidade de rescisão do contrato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f) Acima de 07 dias de atraso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16"/>
              <w:ind w:left="0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-  6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- 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Autospacing="1" w:after="142"/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A"/>
              </w:rPr>
              <w:t>Refazer o serviço que não estiver em conformidade com as especificações, que se iniciará a partir da data do termo de recusa: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  <w:p>
            <w:pPr>
              <w:jc w:val="both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a) até 03 dias de atraso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-  1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– Por Ocorrência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b) até 05 dias de atraso 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 - 2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 -  Por ocorrência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c) até 07 dias de atraso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 - 4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-   Por ocorrência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d) Acima de 07 dias de atraso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-  6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-  Por ocorrência, sem prejuízo da possibilidade de rescisão do contrato</w:t>
            </w:r>
            <w:r>
              <w:rPr>
                <w:rFonts w:ascii="Arial" w:hAnsi="Arial" w:eastAsia="Calibri" w:cs="Arial"/>
                <w:bCs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eastAsia="Calibri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Responder pelos danos causados diretamente ao CONSELHO REGIONAL DE ENFERMAGEM DE </w:t>
            </w:r>
            <w:r>
              <w:rPr>
                <w:rFonts w:hint="default" w:ascii="Arial" w:hAnsi="Arial" w:cs="Arial"/>
                <w:sz w:val="20"/>
                <w:lang w:val="pt-BR"/>
              </w:rPr>
              <w:t>MATO GROSSO</w:t>
            </w:r>
            <w:r>
              <w:rPr>
                <w:rFonts w:ascii="Arial" w:hAnsi="Arial" w:cs="Arial"/>
                <w:sz w:val="20"/>
              </w:rPr>
              <w:t xml:space="preserve"> ou a terceiros, quando da execução do contrato, não excluindo ou reduzindo essa responsabilidade a fiscalização ou o acompanhamento pela Contratante.</w:t>
            </w: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 xml:space="preserve">Grau -  6 - 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>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Implantar, de forma adequada, a supervisão permanente dos serviços, de modo a obter uma operação correta e eficaz.</w:t>
            </w: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 - 5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 - 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eastAsia="Calibri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Atender prontamente quaisquer exigências do representante do CONSELHO REGIONAL DE ENFERMAGEM DE </w:t>
            </w:r>
            <w:r>
              <w:rPr>
                <w:rFonts w:hint="default" w:ascii="Arial" w:hAnsi="Arial" w:cs="Arial"/>
                <w:sz w:val="20"/>
                <w:lang w:val="pt-BR"/>
              </w:rPr>
              <w:t>MATO GROSSO</w:t>
            </w:r>
            <w:r>
              <w:rPr>
                <w:rFonts w:ascii="Arial" w:hAnsi="Arial" w:cs="Arial"/>
                <w:sz w:val="20"/>
              </w:rPr>
              <w:t xml:space="preserve"> no que diz respeito às necessidades da Contratante.</w:t>
            </w: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 - 5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 - 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eastAsia="Calibri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Zelar pela perfeita execução dos serviços contratados e atender às notificações da Contratante. </w:t>
            </w: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– 5 -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A"/>
                <w:lang w:eastAsia="en-US"/>
              </w:rPr>
              <w:t>12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Responsabilizar-se por todos os encargos previdenciários e obrigações sociais previstos na legislação social e trabalhista em vigor, obrigando-se a saldá-los na época própria,  vez  que  os  seus  empregados  não  manterão  nenhum vínculo empregatício com o Contratante.</w:t>
            </w:r>
          </w:p>
          <w:p>
            <w:pPr>
              <w:jc w:val="both"/>
              <w:rPr>
                <w:rFonts w:ascii="Arial" w:hAnsi="Arial" w:eastAsia="Calibri" w:cs="Arial"/>
                <w:lang w:eastAsia="en-US"/>
              </w:rPr>
            </w:pP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A"/>
                <w:lang w:eastAsia="en-US"/>
              </w:rPr>
              <w:t>Grau 2 -</w:t>
            </w:r>
            <w:r>
              <w:rPr>
                <w:rFonts w:ascii="Arial" w:hAnsi="Arial" w:eastAsia="Calibri" w:cs="Arial"/>
                <w:color w:val="00000A"/>
                <w:lang w:eastAsia="en-US"/>
              </w:rPr>
              <w:t xml:space="preserve"> Por ocorrência, sem prejuízo da possibilidade de rescisão do contrato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Designar um Preposto, que será o responsável pelo tratamento junto à contratante de todas as questões relacionadas à execução do objeto contratado.</w:t>
            </w: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1 -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Colocar à disposição da Contratante telefone direto local, celular e e-mail para contato direto com o Preposto, para tratamento das questões relacionadas ao contrato, não se admitindo a remessa desses assuntos para atendimento por Call center destinado ao público geral.</w:t>
            </w:r>
          </w:p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1 -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Não transferir ou ceder, total ou parcialmente, a qualquer título, os direitos e obrigações decorrentes do contrato, salvo autorização expressa da Administração.</w:t>
            </w: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4 -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16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Prestar os serviços dentro dos parâmetros e rotinas estabelecidas, em observância às  normas  legais  e  regulamentares  aplicáveis  e,  inclusive,  às recomendações exigidas pela boa técnica.</w:t>
            </w: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2 -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17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Comunicar ao representante da Contratante qualquer anormalidade de caráter urgente e prestar os esclarecimentos julgados necessários.</w:t>
            </w: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1 -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/>
                <w:color w:val="000000"/>
                <w:highlight w:val="yellow"/>
                <w:lang w:eastAsia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Arial" w:hAnsi="Arial" w:cs="Arial"/>
          <w:color w:val="00000A"/>
        </w:rPr>
      </w:pPr>
    </w:p>
    <w:p>
      <w:pPr>
        <w:pStyle w:val="16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eastAsia="Calibri" w:cs="Arial"/>
          <w:color w:val="000000"/>
          <w:lang w:eastAsia="en-US"/>
        </w:rPr>
      </w:pPr>
      <w:r>
        <w:rPr>
          <w:rFonts w:ascii="Arial" w:hAnsi="Arial" w:eastAsia="Calibri" w:cs="Arial"/>
          <w:color w:val="000000"/>
          <w:lang w:eastAsia="en-US"/>
        </w:rPr>
        <w:t>O pagamento ficará vinculado ao cumprimento do IMR, bem como pela análise de ausências de prestação de serviços e sanções administrativas.  O valor do pagamento dos serviços será calculado como sendo o valor do contrato subtraídos os descontos (pela aplicação deste Instrumento), glosas (por não prestação de serviços) e multas (sanções administrativas) computadas e aplicáveis no período correspondente.</w:t>
      </w:r>
    </w:p>
    <w:p>
      <w:pPr>
        <w:pStyle w:val="16"/>
        <w:autoSpaceDE w:val="0"/>
        <w:autoSpaceDN w:val="0"/>
        <w:adjustRightInd w:val="0"/>
        <w:spacing w:after="120"/>
        <w:ind w:left="360"/>
        <w:jc w:val="both"/>
        <w:rPr>
          <w:rFonts w:ascii="Arial" w:hAnsi="Arial" w:eastAsia="Calibri" w:cs="Arial"/>
          <w:color w:val="000000"/>
          <w:lang w:eastAsia="en-US"/>
        </w:rPr>
      </w:pPr>
    </w:p>
    <w:p>
      <w:pPr>
        <w:autoSpaceDE w:val="0"/>
        <w:autoSpaceDN w:val="0"/>
        <w:adjustRightInd w:val="0"/>
        <w:spacing w:after="120"/>
        <w:jc w:val="both"/>
        <w:rPr>
          <w:rFonts w:ascii="Arial" w:hAnsi="Arial" w:eastAsia="Calibri" w:cs="Arial"/>
          <w:b/>
          <w:color w:val="000000"/>
          <w:lang w:eastAsia="en-US"/>
        </w:rPr>
      </w:pPr>
      <w:r>
        <w:rPr>
          <w:rFonts w:ascii="Arial" w:hAnsi="Arial" w:eastAsia="Calibri" w:cs="Arial"/>
          <w:b/>
          <w:color w:val="000000"/>
          <w:lang w:eastAsia="en-US"/>
        </w:rPr>
        <w:t>3.1 VPC = VC - TDGM</w:t>
      </w:r>
    </w:p>
    <w:p>
      <w:pPr>
        <w:jc w:val="both"/>
        <w:rPr>
          <w:rFonts w:ascii="Arial" w:hAnsi="Arial" w:eastAsia="Calibri" w:cs="Arial"/>
          <w:color w:val="000000"/>
          <w:lang w:eastAsia="en-US"/>
        </w:rPr>
      </w:pPr>
      <w:r>
        <w:rPr>
          <w:rFonts w:ascii="Arial" w:hAnsi="Arial" w:eastAsia="Calibri" w:cs="Arial"/>
          <w:color w:val="000000"/>
          <w:lang w:eastAsia="en-US"/>
        </w:rPr>
        <w:t>Onde:</w:t>
      </w:r>
    </w:p>
    <w:p>
      <w:pPr>
        <w:jc w:val="both"/>
        <w:rPr>
          <w:rFonts w:ascii="Arial" w:hAnsi="Arial" w:eastAsia="Calibri" w:cs="Arial"/>
          <w:color w:val="000000"/>
          <w:lang w:eastAsia="en-US"/>
        </w:rPr>
      </w:pPr>
      <w:r>
        <w:rPr>
          <w:rFonts w:ascii="Arial" w:hAnsi="Arial" w:eastAsia="Calibri" w:cs="Arial"/>
          <w:color w:val="000000"/>
          <w:lang w:eastAsia="en-US"/>
        </w:rPr>
        <w:t>VPC = Valor a Ser Pago no Contrato</w:t>
      </w:r>
    </w:p>
    <w:p>
      <w:pPr>
        <w:jc w:val="both"/>
        <w:rPr>
          <w:rFonts w:ascii="Arial" w:hAnsi="Arial" w:eastAsia="Calibri" w:cs="Arial"/>
          <w:color w:val="000000"/>
          <w:lang w:eastAsia="en-US"/>
        </w:rPr>
      </w:pPr>
      <w:r>
        <w:rPr>
          <w:rFonts w:ascii="Arial" w:hAnsi="Arial" w:eastAsia="Calibri" w:cs="Arial"/>
          <w:color w:val="000000"/>
          <w:lang w:eastAsia="en-US"/>
        </w:rPr>
        <w:t>VC = Valor do Contrato</w:t>
      </w:r>
    </w:p>
    <w:p>
      <w:pPr>
        <w:jc w:val="both"/>
        <w:rPr>
          <w:rFonts w:ascii="Arial" w:hAnsi="Arial" w:eastAsia="Calibri" w:cs="Arial"/>
          <w:color w:val="000000"/>
          <w:lang w:eastAsia="en-US"/>
        </w:rPr>
      </w:pPr>
      <w:r>
        <w:rPr>
          <w:rFonts w:ascii="Arial" w:hAnsi="Arial" w:eastAsia="Calibri" w:cs="Arial"/>
          <w:color w:val="000000"/>
          <w:lang w:eastAsia="en-US"/>
        </w:rPr>
        <w:t>TDGM = Total de Descontos, Glosas e Multas</w:t>
      </w:r>
    </w:p>
    <w:p>
      <w:pPr>
        <w:rPr>
          <w:rFonts w:ascii="Arial" w:hAnsi="Arial" w:eastAsia="Calibri" w:cs="Arial"/>
          <w:color w:val="000000"/>
          <w:lang w:eastAsia="en-US"/>
        </w:rPr>
      </w:pPr>
    </w:p>
    <w:p>
      <w:pPr>
        <w:pStyle w:val="16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eastAsia="Calibri" w:cs="Arial"/>
          <w:color w:val="000000"/>
          <w:lang w:eastAsia="en-US"/>
        </w:rPr>
      </w:pPr>
      <w:r>
        <w:rPr>
          <w:rFonts w:ascii="Arial" w:hAnsi="Arial" w:eastAsia="Calibri" w:cs="Arial"/>
          <w:color w:val="000000"/>
          <w:lang w:eastAsia="en-US"/>
        </w:rPr>
        <w:t>Os indicadores de desempenho poderão, a qualquer tempo e em comum acordo entre as partes, ser ajustados, ampliados e/ou reduzidos, desde que estas alterações sejam devidamente formalizadas através de Termo Aditivo de Contrato.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</w:p>
    <w:sectPr>
      <w:headerReference r:id="rId5" w:type="default"/>
      <w:footerReference r:id="rId6" w:type="default"/>
      <w:pgSz w:w="11910" w:h="16850"/>
      <w:pgMar w:top="2000" w:right="700" w:bottom="1100" w:left="1320" w:header="652" w:footer="9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DejaVuSerifCondensed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605"/>
      <w:gridCol w:w="46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6" w:hRule="atLeast"/>
        <w:jc w:val="center"/>
      </w:trPr>
      <w:tc>
        <w:tcPr>
          <w:tcW w:w="4605" w:type="dxa"/>
        </w:tcPr>
        <w:p>
          <w:pPr>
            <w:pStyle w:val="1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Av. Presidente Marques, nº 59 Bairro Goiabeiras</w:t>
          </w:r>
        </w:p>
        <w:p>
          <w:pPr>
            <w:pStyle w:val="1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CEP 78.032-010  Cuiabá - MT</w:t>
          </w:r>
        </w:p>
        <w:p>
          <w:pPr>
            <w:pStyle w:val="13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>Tel: 65 3623 4075           www.coren-mt.gov.br</w:t>
          </w:r>
        </w:p>
      </w:tc>
      <w:tc>
        <w:tcPr>
          <w:tcW w:w="4605" w:type="dxa"/>
        </w:tcPr>
        <w:p>
          <w:pPr>
            <w:pStyle w:val="13"/>
            <w:tabs>
              <w:tab w:val="left" w:pos="3295"/>
            </w:tabs>
            <w:ind w:right="1094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  <w:lang w:eastAsia="pt-BR"/>
            </w:rPr>
            <w:drawing>
              <wp:inline distT="0" distB="0" distL="0" distR="0">
                <wp:extent cx="1194435" cy="459740"/>
                <wp:effectExtent l="0" t="0" r="5664" b="0"/>
                <wp:docPr id="4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487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210"/>
    </w:tblGrid>
    <w:tr>
      <w:tc>
        <w:tcPr>
          <w:tcW w:w="9210" w:type="dxa"/>
        </w:tcPr>
        <w:p>
          <w:pPr>
            <w:pStyle w:val="12"/>
          </w:pPr>
          <w:r>
            <w:rPr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592580" cy="866775"/>
                <wp:effectExtent l="0" t="0" r="0" b="9525"/>
                <wp:wrapSquare wrapText="bothSides"/>
                <wp:docPr id="3" name="Imagem 7" descr="D3B5FEF2856CD294F4662F2B8D2AA897CB99_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7" descr="D3B5FEF2856CD294F4662F2B8D2AA897CB99_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258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1" w:hRule="atLeast"/>
      </w:trPr>
      <w:tc>
        <w:tcPr>
          <w:tcW w:w="9210" w:type="dxa"/>
        </w:tcPr>
        <w:p>
          <w:pPr>
            <w:pStyle w:val="12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CONSELHO REGIONAL DE ENFERMAGEM DE MATO GROSSO</w:t>
          </w:r>
        </w:p>
        <w:p>
          <w:pPr>
            <w:pStyle w:val="12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pela Lei Nº 5.905 de 12/07/1973</w:t>
          </w:r>
        </w:p>
        <w:p>
          <w:pPr>
            <w:pStyle w:val="12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>Instalado pela Portaria Cofen N.º 001/1975</w:t>
          </w:r>
        </w:p>
      </w:tc>
    </w:tr>
  </w:tbl>
  <w:p>
    <w:pPr>
      <w:pStyle w:val="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3217F"/>
    <w:multiLevelType w:val="multilevel"/>
    <w:tmpl w:val="1343217F"/>
    <w:lvl w:ilvl="0" w:tentative="0">
      <w:start w:val="1"/>
      <w:numFmt w:val="none"/>
      <w:suff w:val="nothing"/>
      <w:lvlText w:val=""/>
      <w:lvlJc w:val="left"/>
      <w:pPr>
        <w:ind w:left="432" w:hanging="432"/>
      </w:pPr>
      <w:rPr>
        <w:rFonts w:eastAsia="DejaVuSerifCondensedBold" w:cs="TimesNewRomanPSMT"/>
        <w:b/>
        <w:bCs w:val="0"/>
        <w:color w:val="000000"/>
        <w:sz w:val="24"/>
        <w:szCs w:val="24"/>
      </w:r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  <w:rPr>
        <w:b/>
        <w:sz w:val="24"/>
        <w:szCs w:val="24"/>
      </w:r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D5C100D"/>
    <w:multiLevelType w:val="multilevel"/>
    <w:tmpl w:val="1D5C100D"/>
    <w:lvl w:ilvl="0" w:tentative="0">
      <w:start w:val="1"/>
      <w:numFmt w:val="decimal"/>
      <w:pStyle w:val="18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pStyle w:val="21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 w:tentative="0">
      <w:start w:val="1"/>
      <w:numFmt w:val="decimal"/>
      <w:pStyle w:val="25"/>
      <w:lvlText w:val="%1.%2.%3."/>
      <w:lvlJc w:val="left"/>
      <w:pPr>
        <w:ind w:left="1781" w:hanging="504"/>
      </w:pPr>
      <w:rPr>
        <w:rFonts w:hint="default" w:ascii="Arial" w:hAnsi="Arial"/>
        <w:b w:val="0"/>
        <w:i w:val="0"/>
        <w:strike w:val="0"/>
        <w:color w:val="auto"/>
        <w:sz w:val="20"/>
        <w:szCs w:val="20"/>
      </w:rPr>
    </w:lvl>
    <w:lvl w:ilvl="3" w:tentative="0">
      <w:start w:val="1"/>
      <w:numFmt w:val="decimal"/>
      <w:pStyle w:val="28"/>
      <w:lvlText w:val="%1.%2.%3.%4."/>
      <w:lvlJc w:val="left"/>
      <w:pPr>
        <w:ind w:left="2491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A03A3A"/>
    <w:multiLevelType w:val="multilevel"/>
    <w:tmpl w:val="2FA03A3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4936ECE"/>
    <w:rsid w:val="067B53AB"/>
    <w:rsid w:val="0C1046AE"/>
    <w:rsid w:val="0D331F18"/>
    <w:rsid w:val="10A31B89"/>
    <w:rsid w:val="17814E1C"/>
    <w:rsid w:val="187F3109"/>
    <w:rsid w:val="188C65AE"/>
    <w:rsid w:val="1F4472C1"/>
    <w:rsid w:val="1FC55F89"/>
    <w:rsid w:val="22050315"/>
    <w:rsid w:val="2368077B"/>
    <w:rsid w:val="24955C14"/>
    <w:rsid w:val="29585081"/>
    <w:rsid w:val="2CE97170"/>
    <w:rsid w:val="2D6B7119"/>
    <w:rsid w:val="302C29AA"/>
    <w:rsid w:val="305B4C7A"/>
    <w:rsid w:val="31076F20"/>
    <w:rsid w:val="35C9034A"/>
    <w:rsid w:val="3B3A16A1"/>
    <w:rsid w:val="3C1F279A"/>
    <w:rsid w:val="3D161F9C"/>
    <w:rsid w:val="3E1A616F"/>
    <w:rsid w:val="3F6404CE"/>
    <w:rsid w:val="4042770E"/>
    <w:rsid w:val="41222A65"/>
    <w:rsid w:val="46D911F0"/>
    <w:rsid w:val="49067541"/>
    <w:rsid w:val="4D360C30"/>
    <w:rsid w:val="52C45BA4"/>
    <w:rsid w:val="56F053EB"/>
    <w:rsid w:val="5701202D"/>
    <w:rsid w:val="57A55EA4"/>
    <w:rsid w:val="57B317F1"/>
    <w:rsid w:val="5D4A7CC2"/>
    <w:rsid w:val="5D956E98"/>
    <w:rsid w:val="63DF4869"/>
    <w:rsid w:val="646130A5"/>
    <w:rsid w:val="6AB778B5"/>
    <w:rsid w:val="6EFF612B"/>
    <w:rsid w:val="71650FB4"/>
    <w:rsid w:val="72754B7D"/>
    <w:rsid w:val="79190CF7"/>
    <w:rsid w:val="7D3A08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Segoe UI" w:hAnsi="Segoe UI" w:eastAsia="Segoe UI" w:cs="Segoe U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211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autoRedefine/>
    <w:qFormat/>
    <w:uiPriority w:val="1"/>
    <w:pPr>
      <w:spacing w:before="1"/>
      <w:ind w:left="382"/>
      <w:outlineLvl w:val="2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autoRedefine/>
    <w:qFormat/>
    <w:uiPriority w:val="1"/>
    <w:pPr>
      <w:ind w:left="382"/>
      <w:outlineLvl w:val="3"/>
    </w:pPr>
    <w:rPr>
      <w:rFonts w:ascii="Segoe UI" w:hAnsi="Segoe UI" w:eastAsia="Segoe UI" w:cs="Segoe UI"/>
      <w:b/>
      <w:bCs/>
      <w:sz w:val="22"/>
      <w:szCs w:val="22"/>
      <w:lang w:val="pt-PT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autoRedefine/>
    <w:unhideWhenUsed/>
    <w:qFormat/>
    <w:uiPriority w:val="0"/>
    <w:rPr>
      <w:sz w:val="16"/>
      <w:szCs w:val="16"/>
    </w:rPr>
  </w:style>
  <w:style w:type="character" w:styleId="8">
    <w:name w:val="Hyperlink"/>
    <w:qFormat/>
    <w:uiPriority w:val="0"/>
    <w:rPr>
      <w:color w:val="000080"/>
      <w:u w:val="single"/>
    </w:rPr>
  </w:style>
  <w:style w:type="paragraph" w:styleId="9">
    <w:name w:val="Body Text"/>
    <w:basedOn w:val="1"/>
    <w:autoRedefine/>
    <w:qFormat/>
    <w:uiPriority w:val="1"/>
    <w:rPr>
      <w:rFonts w:ascii="Segoe UI" w:hAnsi="Segoe UI" w:eastAsia="Segoe UI" w:cs="Segoe UI"/>
      <w:sz w:val="22"/>
      <w:szCs w:val="22"/>
      <w:lang w:val="pt-PT" w:eastAsia="en-US" w:bidi="ar-SA"/>
    </w:rPr>
  </w:style>
  <w:style w:type="paragraph" w:styleId="10">
    <w:name w:val="annotation text"/>
    <w:basedOn w:val="1"/>
    <w:autoRedefine/>
    <w:unhideWhenUsed/>
    <w:qFormat/>
    <w:uiPriority w:val="99"/>
    <w:rPr>
      <w:sz w:val="20"/>
      <w:szCs w:val="20"/>
    </w:rPr>
  </w:style>
  <w:style w:type="paragraph" w:styleId="11">
    <w:name w:val="Normal (Web)"/>
    <w:basedOn w:val="1"/>
    <w:autoRedefine/>
    <w:qFormat/>
    <w:uiPriority w:val="99"/>
    <w:pPr>
      <w:spacing w:before="100" w:beforeAutospacing="1" w:after="100" w:afterAutospacing="1"/>
    </w:pPr>
  </w:style>
  <w:style w:type="paragraph" w:styleId="12">
    <w:name w:val="header"/>
    <w:basedOn w:val="1"/>
    <w:autoRedefine/>
    <w:qFormat/>
    <w:uiPriority w:val="0"/>
    <w:pPr>
      <w:tabs>
        <w:tab w:val="center" w:pos="4252"/>
        <w:tab w:val="right" w:pos="8504"/>
      </w:tabs>
    </w:pPr>
  </w:style>
  <w:style w:type="paragraph" w:styleId="13">
    <w:name w:val="footer"/>
    <w:basedOn w:val="1"/>
    <w:autoRedefine/>
    <w:unhideWhenUsed/>
    <w:qFormat/>
    <w:uiPriority w:val="99"/>
    <w:pPr>
      <w:tabs>
        <w:tab w:val="center" w:pos="4252"/>
        <w:tab w:val="right" w:pos="8504"/>
      </w:tabs>
    </w:pPr>
    <w:rPr>
      <w:rFonts w:ascii="Calibri" w:hAnsi="Calibri" w:eastAsia="Calibri"/>
      <w:sz w:val="22"/>
      <w:szCs w:val="22"/>
      <w:lang w:eastAsia="en-US"/>
    </w:rPr>
  </w:style>
  <w:style w:type="table" w:styleId="14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1"/>
    <w:pPr>
      <w:ind w:left="382"/>
      <w:jc w:val="both"/>
    </w:pPr>
    <w:rPr>
      <w:rFonts w:ascii="Segoe UI" w:hAnsi="Segoe UI" w:eastAsia="Segoe UI" w:cs="Segoe UI"/>
      <w:lang w:val="pt-PT" w:eastAsia="en-US" w:bidi="ar-SA"/>
    </w:rPr>
  </w:style>
  <w:style w:type="paragraph" w:customStyle="1" w:styleId="17">
    <w:name w:val="Table Paragraph"/>
    <w:basedOn w:val="1"/>
    <w:autoRedefine/>
    <w:qFormat/>
    <w:uiPriority w:val="1"/>
    <w:rPr>
      <w:rFonts w:ascii="Calibri" w:hAnsi="Calibri" w:eastAsia="Calibri" w:cs="Calibri"/>
      <w:lang w:val="pt-PT" w:eastAsia="en-US" w:bidi="ar-SA"/>
    </w:rPr>
  </w:style>
  <w:style w:type="paragraph" w:customStyle="1" w:styleId="18">
    <w:name w:val="Nivel 01"/>
    <w:basedOn w:val="2"/>
    <w:next w:val="1"/>
    <w:autoRedefine/>
    <w:qFormat/>
    <w:uiPriority w:val="0"/>
    <w:pPr>
      <w:numPr>
        <w:ilvl w:val="0"/>
        <w:numId w:val="1"/>
      </w:numPr>
      <w:tabs>
        <w:tab w:val="left" w:pos="567"/>
      </w:tabs>
      <w:spacing w:before="240" w:after="120" w:line="276" w:lineRule="auto"/>
      <w:ind w:left="0" w:firstLine="0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19">
    <w:name w:val="Nível 1-Sem Num Preto"/>
    <w:basedOn w:val="20"/>
    <w:autoRedefine/>
    <w:qFormat/>
    <w:uiPriority w:val="0"/>
    <w:pPr>
      <w:tabs>
        <w:tab w:val="left" w:pos="567"/>
      </w:tabs>
    </w:pPr>
    <w:rPr>
      <w:color w:val="auto"/>
      <w:lang w:eastAsia="zh-CN" w:bidi="hi-IN"/>
    </w:rPr>
  </w:style>
  <w:style w:type="paragraph" w:customStyle="1" w:styleId="20">
    <w:name w:val="Nível 1-Sem Num"/>
    <w:basedOn w:val="18"/>
    <w:autoRedefine/>
    <w:qFormat/>
    <w:uiPriority w:val="0"/>
    <w:pPr>
      <w:numPr>
        <w:numId w:val="0"/>
      </w:numPr>
      <w:outlineLvl w:val="1"/>
    </w:pPr>
    <w:rPr>
      <w:color w:val="FF0000"/>
    </w:rPr>
  </w:style>
  <w:style w:type="paragraph" w:customStyle="1" w:styleId="21">
    <w:name w:val="Nivel 2"/>
    <w:basedOn w:val="1"/>
    <w:autoRedefine/>
    <w:qFormat/>
    <w:uiPriority w:val="0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eastAsia="Arial" w:cs="Arial"/>
      <w:color w:val="000000"/>
      <w:sz w:val="20"/>
      <w:szCs w:val="20"/>
    </w:rPr>
  </w:style>
  <w:style w:type="character" w:customStyle="1" w:styleId="22">
    <w:name w:val="normaltextrun"/>
    <w:basedOn w:val="5"/>
    <w:autoRedefine/>
    <w:qFormat/>
    <w:uiPriority w:val="0"/>
  </w:style>
  <w:style w:type="character" w:customStyle="1" w:styleId="23">
    <w:name w:val="findhit"/>
    <w:basedOn w:val="5"/>
    <w:autoRedefine/>
    <w:qFormat/>
    <w:uiPriority w:val="0"/>
  </w:style>
  <w:style w:type="paragraph" w:customStyle="1" w:styleId="24">
    <w:name w:val="Nível 2 -Red"/>
    <w:basedOn w:val="21"/>
    <w:autoRedefine/>
    <w:qFormat/>
    <w:uiPriority w:val="0"/>
    <w:rPr>
      <w:i/>
      <w:iCs/>
      <w:color w:val="FF0000"/>
    </w:rPr>
  </w:style>
  <w:style w:type="paragraph" w:customStyle="1" w:styleId="25">
    <w:name w:val="Nivel 3"/>
    <w:basedOn w:val="1"/>
    <w:autoRedefine/>
    <w:qFormat/>
    <w:uiPriority w:val="0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26">
    <w:name w:val="Nível 3-R"/>
    <w:basedOn w:val="25"/>
    <w:autoRedefine/>
    <w:qFormat/>
    <w:uiPriority w:val="0"/>
    <w:rPr>
      <w:i/>
      <w:iCs/>
      <w:color w:val="FF0000"/>
    </w:rPr>
  </w:style>
  <w:style w:type="paragraph" w:customStyle="1" w:styleId="27">
    <w:name w:val="Nível 4-R"/>
    <w:basedOn w:val="28"/>
    <w:autoRedefine/>
    <w:qFormat/>
    <w:uiPriority w:val="0"/>
    <w:rPr>
      <w:i/>
      <w:iCs/>
      <w:color w:val="FF0000"/>
    </w:rPr>
  </w:style>
  <w:style w:type="paragraph" w:customStyle="1" w:styleId="28">
    <w:name w:val="Nivel 4"/>
    <w:basedOn w:val="25"/>
    <w:autoRedefine/>
    <w:qFormat/>
    <w:uiPriority w:val="0"/>
    <w:pPr>
      <w:numPr>
        <w:ilvl w:val="3"/>
      </w:numPr>
      <w:ind w:left="567" w:firstLine="0"/>
    </w:pPr>
    <w:rPr>
      <w:color w:val="auto"/>
    </w:rPr>
  </w:style>
  <w:style w:type="paragraph" w:customStyle="1" w:styleId="29">
    <w:name w:val="compras"/>
    <w:autoRedefine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Arial" w:cs="Times New Roman"/>
      <w:kern w:val="1"/>
      <w:sz w:val="24"/>
      <w:szCs w:val="20"/>
      <w:lang w:val="pt-BR" w:eastAsia="zh-CN" w:bidi="ar-SA"/>
    </w:rPr>
  </w:style>
  <w:style w:type="paragraph" w:customStyle="1" w:styleId="30">
    <w:name w:val="Cabeçalho1"/>
    <w:basedOn w:val="1"/>
    <w:autoRedefine/>
    <w:unhideWhenUsed/>
    <w:qFormat/>
    <w:uiPriority w:val="99"/>
    <w:pPr>
      <w:tabs>
        <w:tab w:val="center" w:pos="4252"/>
        <w:tab w:val="right" w:pos="8504"/>
      </w:tabs>
    </w:pPr>
    <w:rPr>
      <w:color w:val="00000A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2</TotalTime>
  <ScaleCrop>false</ScaleCrop>
  <LinksUpToDate>false</LinksUpToDate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2024-01-29T16:05:00Z</dcterms:created>
  <dc:creator>Paulo Sergio Goncalves Pereira</dc:creator>
  <cp:lastModifiedBy>Elemarcia.Rezer</cp:lastModifiedBy>
  <cp:lastPrinted>2024-02-28T15:48:00Z</cp:lastPrinted>
  <dcterms:modified xsi:type="dcterms:W3CDTF">2024-04-01T13:43:28Z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1046-12.2.0.16703</vt:lpwstr>
  </property>
  <property fmtid="{D5CDD505-2E9C-101B-9397-08002B2CF9AE}" pid="7" name="ICV">
    <vt:lpwstr>B3EAD7C8C88341A891490A8A2FB5F17D_13</vt:lpwstr>
  </property>
</Properties>
</file>