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tabs>
          <w:tab w:val="left" w:pos="1328"/>
        </w:tabs>
        <w:spacing w:before="1"/>
        <w:ind w:right="424" w:firstLine="660" w:firstLineChars="275"/>
        <w:jc w:val="both"/>
        <w:rPr>
          <w:rFonts w:hint="default"/>
          <w:sz w:val="24"/>
          <w:lang w:val="pt-BR"/>
        </w:rPr>
      </w:pPr>
    </w:p>
    <w:p>
      <w:pPr>
        <w:spacing w:line="360" w:lineRule="auto"/>
        <w:ind w:right="-15"/>
        <w:jc w:val="center"/>
        <w:rPr>
          <w:rFonts w:hint="default" w:cs="Arial"/>
          <w:b/>
          <w:szCs w:val="20"/>
          <w:u w:val="single"/>
          <w:lang w:val="pt-BR"/>
        </w:rPr>
      </w:pPr>
      <w:r>
        <w:rPr>
          <w:rFonts w:cs="Arial"/>
          <w:b/>
          <w:szCs w:val="20"/>
          <w:u w:val="single"/>
        </w:rPr>
        <w:t xml:space="preserve">ANEXO </w:t>
      </w:r>
      <w:r>
        <w:rPr>
          <w:rFonts w:hint="default" w:cs="Arial"/>
          <w:b/>
          <w:szCs w:val="20"/>
          <w:u w:val="single"/>
          <w:lang w:val="pt-BR"/>
        </w:rPr>
        <w:t>VI</w:t>
      </w:r>
    </w:p>
    <w:p>
      <w:pPr>
        <w:spacing w:line="360" w:lineRule="auto"/>
        <w:ind w:right="-15"/>
        <w:jc w:val="center"/>
      </w:pPr>
      <w:r>
        <w:rPr>
          <w:rFonts w:cs="Arial"/>
          <w:b/>
          <w:szCs w:val="20"/>
        </w:rPr>
        <w:t>PLANILHA DE COMPOSIÇÃO DE PREÇOS</w:t>
      </w:r>
    </w:p>
    <w:p>
      <w:pPr>
        <w:spacing w:line="360" w:lineRule="auto"/>
        <w:ind w:right="-15"/>
        <w:jc w:val="center"/>
      </w:pPr>
      <w:r>
        <w:rPr>
          <w:rFonts w:cs="Arial"/>
          <w:b/>
          <w:szCs w:val="20"/>
        </w:rPr>
        <w:t>CONSELHO REGIONAL DE ENFERMAGEM DE</w:t>
      </w:r>
      <w:r>
        <w:rPr>
          <w:rFonts w:hint="default" w:cs="Arial"/>
          <w:b/>
          <w:szCs w:val="20"/>
          <w:lang w:val="pt-BR"/>
        </w:rPr>
        <w:t xml:space="preserve"> MATO GROSSO</w:t>
      </w:r>
      <w:bookmarkStart w:id="1" w:name="_GoBack"/>
      <w:bookmarkEnd w:id="1"/>
      <w:r>
        <w:rPr>
          <w:rFonts w:cs="Arial"/>
          <w:b/>
          <w:szCs w:val="20"/>
        </w:rPr>
        <w:t>– COREN/M</w:t>
      </w:r>
      <w:r>
        <w:rPr>
          <w:rFonts w:hint="default" w:cs="Arial"/>
          <w:b/>
          <w:szCs w:val="20"/>
          <w:lang w:val="pt-BR"/>
        </w:rPr>
        <w:t>T</w:t>
      </w:r>
      <w:r>
        <w:rPr>
          <w:rFonts w:cs="Arial"/>
          <w:b/>
          <w:szCs w:val="20"/>
        </w:rPr>
        <w:t xml:space="preserve"> </w:t>
      </w:r>
    </w:p>
    <w:p>
      <w:pPr>
        <w:spacing w:line="360" w:lineRule="auto"/>
        <w:ind w:right="-15"/>
        <w:jc w:val="center"/>
        <w:rPr>
          <w:rFonts w:hint="default"/>
          <w:lang w:val="pt-BR"/>
        </w:rPr>
      </w:pPr>
      <w:r>
        <w:rPr>
          <w:rFonts w:cs="Arial"/>
          <w:b/>
          <w:szCs w:val="20"/>
        </w:rPr>
        <w:t>PROCESSO N°</w:t>
      </w:r>
      <w:r>
        <w:rPr>
          <w:rFonts w:hint="default" w:cs="Arial"/>
          <w:b/>
          <w:szCs w:val="20"/>
          <w:lang w:val="pt-BR"/>
        </w:rPr>
        <w:t>04/2024</w:t>
      </w:r>
      <w:r>
        <w:rPr>
          <w:rFonts w:cs="Arial"/>
          <w:b/>
          <w:szCs w:val="20"/>
        </w:rPr>
        <w:t xml:space="preserve">- PREGÃO Nº </w:t>
      </w:r>
      <w:r>
        <w:rPr>
          <w:rFonts w:hint="default" w:cs="Arial"/>
          <w:b/>
          <w:szCs w:val="20"/>
          <w:lang w:val="pt-BR"/>
        </w:rPr>
        <w:t>90002/2024</w:t>
      </w:r>
    </w:p>
    <w:p>
      <w:pPr>
        <w:spacing w:before="240" w:after="120" w:line="360" w:lineRule="auto"/>
        <w:ind w:right="-15"/>
        <w:jc w:val="both"/>
      </w:pPr>
      <w:r>
        <w:rPr>
          <w:rFonts w:cs="Arial"/>
          <w:b/>
          <w:szCs w:val="20"/>
        </w:rPr>
        <w:t>1. DO VALOR MÁXIMO PAGO PELA ADMINISTRAÇÃO</w:t>
      </w:r>
    </w:p>
    <w:p>
      <w:pPr>
        <w:spacing w:before="240" w:after="120" w:line="360" w:lineRule="auto"/>
        <w:ind w:right="-15"/>
        <w:jc w:val="both"/>
        <w:rPr>
          <w:rFonts w:cs="Arial"/>
          <w:sz w:val="16"/>
          <w:szCs w:val="16"/>
        </w:rPr>
      </w:pPr>
      <w:r>
        <w:rPr>
          <w:rFonts w:cs="Arial"/>
          <w:b/>
          <w:szCs w:val="20"/>
        </w:rPr>
        <w:t xml:space="preserve">1.1 </w:t>
      </w:r>
      <w:r>
        <w:rPr>
          <w:rFonts w:cs="Arial"/>
          <w:szCs w:val="20"/>
        </w:rPr>
        <w:t xml:space="preserve">Os valores máximos pagos pela Administração, serão os constantes neste Anexo </w:t>
      </w:r>
      <w:r>
        <w:rPr>
          <w:rFonts w:hint="default" w:cs="Arial"/>
          <w:szCs w:val="20"/>
          <w:lang w:val="pt-BR"/>
        </w:rPr>
        <w:t>VI</w:t>
      </w:r>
      <w:r>
        <w:rPr>
          <w:rFonts w:cs="Arial"/>
          <w:szCs w:val="20"/>
        </w:rPr>
        <w:t xml:space="preserve"> – Planilha de </w:t>
      </w:r>
      <w:r>
        <w:rPr>
          <w:rFonts w:cs="Arial"/>
          <w:sz w:val="16"/>
          <w:szCs w:val="16"/>
        </w:rPr>
        <w:t xml:space="preserve">Composição de Preços do Edital. </w:t>
      </w:r>
    </w:p>
    <w:tbl>
      <w:tblPr>
        <w:tblStyle w:val="6"/>
        <w:tblpPr w:leftFromText="141" w:rightFromText="141" w:vertAnchor="text" w:horzAnchor="margin" w:tblpXSpec="center" w:tblpY="50"/>
        <w:tblW w:w="104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111"/>
        <w:gridCol w:w="1843"/>
        <w:gridCol w:w="170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0" w:type="dxa"/>
            <w:gridSpan w:val="5"/>
            <w:shd w:val="clear" w:color="auto" w:fill="B8CCE4" w:themeFill="accent1" w:themeFillTint="66"/>
          </w:tcPr>
          <w:p>
            <w:pPr>
              <w:widowControl w:val="0"/>
              <w:suppressAutoHyphens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GRUPO 1 – CONTRATAÇÃO DE SERVIÇOS PARA CAPTURA, ROTEAMENTO, TRANSMISSÃO, PROCESSAMENTO, COMPENSAÇÃO E LIQUIDAÇÃO FINANCEIRA DAS TRANSAÇÕES REALIZADAS POR MEIO DE CARTÕES DE CRÉDITO E DÉBITO, À VISTA E PARCELADO, DE RECEBÍVEIS DO COREN-M</w:t>
            </w:r>
            <w:r>
              <w:rPr>
                <w:rFonts w:hint="default"/>
                <w:b/>
                <w:bCs/>
                <w:sz w:val="18"/>
                <w:szCs w:val="18"/>
                <w:lang w:val="pt-BR"/>
              </w:rPr>
              <w:t>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widowControl w:val="0"/>
              <w:suppressAutoHyphens/>
              <w:jc w:val="both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ITEM</w:t>
            </w:r>
          </w:p>
          <w:p>
            <w:pPr>
              <w:widowControl w:val="0"/>
              <w:suppressAutoHyphens/>
              <w:jc w:val="both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</w:tcPr>
          <w:p>
            <w:pPr>
              <w:jc w:val="both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DESCRIÇÃO/</w:t>
            </w:r>
          </w:p>
          <w:p>
            <w:pPr>
              <w:widowControl w:val="0"/>
              <w:suppressAutoHyphens/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1843" w:type="dxa"/>
          </w:tcPr>
          <w:p>
            <w:pPr>
              <w:widowControl w:val="0"/>
              <w:suppressAutoHyphen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R$ ESTIMADO PARA ARRECADAÇÃO EM </w:t>
            </w:r>
            <w:r>
              <w:rPr>
                <w:rFonts w:hint="default" w:cs="Arial"/>
                <w:b/>
                <w:bCs/>
                <w:sz w:val="16"/>
                <w:szCs w:val="16"/>
                <w:lang w:val="pt-BR"/>
              </w:rPr>
              <w:t xml:space="preserve">60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MESES</w:t>
            </w:r>
          </w:p>
          <w:p>
            <w:pPr>
              <w:widowControl w:val="0"/>
              <w:suppressAutoHyphens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(A)</w:t>
            </w:r>
          </w:p>
        </w:tc>
        <w:tc>
          <w:tcPr>
            <w:tcW w:w="1701" w:type="dxa"/>
          </w:tcPr>
          <w:p>
            <w:pPr>
              <w:widowControl w:val="0"/>
              <w:suppressAutoHyphens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% MÉDIO TAXA ADMINISTRATIVA</w:t>
            </w:r>
          </w:p>
          <w:p>
            <w:pPr>
              <w:widowControl w:val="0"/>
              <w:suppressAutoHyphens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(B)</w:t>
            </w:r>
          </w:p>
        </w:tc>
        <w:tc>
          <w:tcPr>
            <w:tcW w:w="2131" w:type="dxa"/>
          </w:tcPr>
          <w:p>
            <w:pPr>
              <w:widowControl w:val="0"/>
              <w:suppressAutoHyphens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R$ Total Máximo Aceitável</w:t>
            </w:r>
          </w:p>
          <w:p>
            <w:pPr>
              <w:widowControl w:val="0"/>
              <w:suppressAutoHyphens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Após incidência da taxa administrativa</w:t>
            </w:r>
          </w:p>
          <w:p>
            <w:pPr>
              <w:widowControl w:val="0"/>
              <w:suppressAutoHyphens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(AxB)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704" w:type="dxa"/>
            <w:vAlign w:val="center"/>
          </w:tcPr>
          <w:p>
            <w:pPr>
              <w:widowControl w:val="0"/>
              <w:suppressAutoHyphens/>
              <w:spacing w:before="120" w:after="288" w:afterLines="120" w:line="312" w:lineRule="auto"/>
              <w:ind w:left="0" w:leftChars="0" w:right="0" w:rightChars="0"/>
              <w:jc w:val="center"/>
              <w:rPr>
                <w:rFonts w:ascii="Arial" w:hAnsi="Arial" w:cs="Arial" w:eastAsiaTheme="minorEastAsia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11" w:type="dxa"/>
            <w:vAlign w:val="top"/>
          </w:tcPr>
          <w:p>
            <w:pPr>
              <w:widowControl w:val="0"/>
              <w:suppressAutoHyphens/>
              <w:spacing w:before="120" w:after="288" w:afterLines="120" w:line="312" w:lineRule="auto"/>
              <w:ind w:left="0" w:leftChars="0" w:right="0" w:rightChars="0"/>
              <w:jc w:val="both"/>
              <w:rPr>
                <w:rFonts w:ascii="Arial" w:hAnsi="Arial" w:cs="Arial" w:eastAsiaTheme="minorEastAsia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CAPTURA, ROTEAMENTO, TRANSMISSÃO, PROCESSAMENTO, COMPENSAÇÃO E LIQUIDAÇÃO FINANCEIRA DAS TRANSAÇÕES REALIZADAS POR MEIO DE CARTÕES DE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DÉBITO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POR UM PERÍODO DE 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  <w:lang w:val="pt-BR"/>
              </w:rPr>
              <w:t xml:space="preserve">60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  <w:lang w:val="pt-BR"/>
              </w:rPr>
              <w:t>SESSENTA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MESES. 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>15</w:t>
            </w:r>
            <w:r>
              <w:rPr>
                <w:rFonts w:cs="Arial"/>
                <w:color w:val="000000"/>
                <w:sz w:val="18"/>
                <w:szCs w:val="18"/>
              </w:rPr>
              <w:t>.000.000,00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uppressAutoHyphens/>
              <w:spacing w:after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>
              <w:rPr>
                <w:rFonts w:hint="default"/>
                <w:sz w:val="18"/>
                <w:szCs w:val="18"/>
                <w:lang w:val="pt-BR"/>
              </w:rPr>
              <w:t>51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suppressAutoHyphens/>
              <w:spacing w:after="120" w:line="276" w:lineRule="auto"/>
              <w:jc w:val="center"/>
              <w:rPr>
                <w:rFonts w:hint="default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>226.500,00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 w:val="0"/>
              <w:suppressAutoHyphens/>
              <w:spacing w:before="120" w:after="288" w:afterLines="120" w:line="312" w:lineRule="auto"/>
              <w:ind w:left="0" w:leftChars="0" w:right="0" w:rightChars="0"/>
              <w:jc w:val="center"/>
              <w:rPr>
                <w:rFonts w:ascii="Arial" w:hAnsi="Arial" w:cs="Arial" w:eastAsiaTheme="minorEastAsia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11" w:type="dxa"/>
            <w:vAlign w:val="top"/>
          </w:tcPr>
          <w:p>
            <w:pPr>
              <w:widowControl w:val="0"/>
              <w:suppressAutoHyphens/>
              <w:spacing w:before="120" w:after="288" w:afterLines="120" w:line="312" w:lineRule="auto"/>
              <w:ind w:left="0" w:leftChars="0" w:right="0" w:rightChars="0"/>
              <w:jc w:val="both"/>
              <w:rPr>
                <w:rFonts w:ascii="Arial" w:hAnsi="Arial" w:cs="Arial" w:eastAsiaTheme="minorEastAsia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CAPTURA, ROTEAMENTO, TRANSMISSÃO, PROCESSAMENTO, COMPENSAÇÃO E LIQUIDAÇÃO FINANCEIRA DAS TRANSAÇÕES REALIZADAS POR MEIO DE CARTÕES DE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CRÉDITO A VISTA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POR UM PERÍODO DE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  <w:lang w:val="pt-BR"/>
              </w:rPr>
              <w:t xml:space="preserve"> 60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  <w:lang w:val="pt-BR"/>
              </w:rPr>
              <w:t>SESSENTA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MESES. 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>5</w:t>
            </w:r>
            <w:r>
              <w:rPr>
                <w:rFonts w:cs="Arial"/>
                <w:color w:val="000000"/>
                <w:sz w:val="18"/>
                <w:szCs w:val="18"/>
              </w:rPr>
              <w:t>.000.000,00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uppressAutoHyphens/>
              <w:spacing w:after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  <w:r>
              <w:rPr>
                <w:rFonts w:hint="default"/>
                <w:sz w:val="18"/>
                <w:szCs w:val="18"/>
                <w:lang w:val="pt-BR"/>
              </w:rPr>
              <w:t>1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suppressAutoHyphens/>
              <w:spacing w:after="120" w:line="276" w:lineRule="auto"/>
              <w:jc w:val="center"/>
              <w:rPr>
                <w:rFonts w:hint="default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>125.500,00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 w:val="0"/>
              <w:suppressAutoHyphens/>
              <w:spacing w:before="120" w:after="288" w:afterLines="120" w:line="312" w:lineRule="auto"/>
              <w:ind w:left="0" w:leftChars="0" w:right="0" w:rightChars="0"/>
              <w:jc w:val="center"/>
              <w:rPr>
                <w:rFonts w:ascii="Arial" w:hAnsi="Arial" w:cs="Arial" w:eastAsiaTheme="minorEastAsia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11" w:type="dxa"/>
            <w:vAlign w:val="top"/>
          </w:tcPr>
          <w:p>
            <w:pPr>
              <w:widowControl w:val="0"/>
              <w:suppressAutoHyphens/>
              <w:spacing w:before="120" w:after="288" w:afterLines="120" w:line="312" w:lineRule="auto"/>
              <w:ind w:left="0" w:leftChars="0" w:right="0" w:rightChars="0"/>
              <w:jc w:val="both"/>
              <w:rPr>
                <w:rFonts w:ascii="Arial" w:hAnsi="Arial" w:cs="Arial" w:eastAsiaTheme="minorEastAsia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CAPTURA, ROTEAMENTO, TRANSMISSÃO, PROCESSAMENTO, COMPENSAÇÃO E LIQUIDAÇÃO FINANCEIRA DAS TRANSAÇÕES REALIZADAS POR MEIO DE CARTÕES DE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CRÉDITO PARCELADO DE 2 A 6 VEZES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POR UM PERÍODO DE 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  <w:lang w:val="pt-BR"/>
              </w:rPr>
              <w:t xml:space="preserve">60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  <w:lang w:val="pt-BR"/>
              </w:rPr>
              <w:t>SESSENTA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 MESES.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>7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>5</w:t>
            </w:r>
            <w:r>
              <w:rPr>
                <w:rFonts w:cs="Arial"/>
                <w:color w:val="000000"/>
                <w:sz w:val="18"/>
                <w:szCs w:val="18"/>
              </w:rPr>
              <w:t>00.000,00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uppressAutoHyphens/>
              <w:spacing w:after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>
              <w:rPr>
                <w:rFonts w:hint="default"/>
                <w:sz w:val="18"/>
                <w:szCs w:val="18"/>
                <w:lang w:val="pt-BR"/>
              </w:rPr>
              <w:t>90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suppressAutoHyphens/>
              <w:spacing w:after="120" w:line="276" w:lineRule="auto"/>
              <w:jc w:val="center"/>
              <w:rPr>
                <w:rFonts w:hint="default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>217.500,00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 w:val="0"/>
              <w:suppressAutoHyphens/>
              <w:spacing w:before="120" w:after="288" w:afterLines="120" w:line="312" w:lineRule="auto"/>
              <w:ind w:left="0" w:leftChars="0" w:right="0" w:rightChars="0"/>
              <w:jc w:val="center"/>
              <w:rPr>
                <w:rFonts w:ascii="Arial" w:hAnsi="Arial" w:cs="Arial" w:eastAsiaTheme="minorEastAsia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11" w:type="dxa"/>
            <w:vAlign w:val="top"/>
          </w:tcPr>
          <w:p>
            <w:pPr>
              <w:spacing w:before="120" w:after="288" w:afterLines="120" w:line="312" w:lineRule="auto"/>
              <w:ind w:left="0" w:leftChars="0" w:right="0" w:rightChars="0"/>
              <w:jc w:val="both"/>
              <w:rPr>
                <w:rFonts w:ascii="Arial" w:hAnsi="Arial" w:cs="Arial" w:eastAsiaTheme="minorEastAsia"/>
                <w:sz w:val="20"/>
                <w:szCs w:val="20"/>
                <w:lang w:val="pt-BR" w:eastAsia="pt-BR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CAPTURA, ROTEAMENTO, TRANSMISSÃO, PROCESSAMENTO, COMPENSAÇÃO E LIQUIDAÇÃO FINANCEIRA DAS TRANSAÇÕES REALIZADAS POR MEIO DE CARTÕES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CRÉDITO PARCELADO DE 7 A 12 VEZES</w:t>
            </w:r>
            <w:r>
              <w:rPr>
                <w:rFonts w:ascii="Arial" w:hAnsi="Arial" w:cs="Arial"/>
                <w:sz w:val="20"/>
                <w:szCs w:val="20"/>
              </w:rPr>
              <w:t xml:space="preserve">, POR UM PERÍODO DE 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  <w:lang w:val="pt-BR"/>
              </w:rPr>
              <w:t xml:space="preserve">60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  <w:lang w:val="pt-BR"/>
              </w:rPr>
              <w:t>SESSENTA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MESES. 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default" w:cs="Arial"/>
                <w:sz w:val="18"/>
                <w:szCs w:val="18"/>
                <w:lang w:val="pt-BR"/>
              </w:rPr>
              <w:t>5</w:t>
            </w:r>
            <w:r>
              <w:rPr>
                <w:rFonts w:cs="Arial"/>
                <w:sz w:val="18"/>
                <w:szCs w:val="18"/>
              </w:rPr>
              <w:t>.000.000,00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uppressAutoHyphens/>
              <w:spacing w:after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>
              <w:rPr>
                <w:rFonts w:hint="default"/>
                <w:sz w:val="18"/>
                <w:szCs w:val="18"/>
                <w:lang w:val="pt-BR"/>
              </w:rPr>
              <w:t>11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suppressAutoHyphens/>
              <w:spacing w:after="120" w:line="276" w:lineRule="auto"/>
              <w:jc w:val="center"/>
              <w:rPr>
                <w:rFonts w:hint="default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hint="default" w:cs="Arial"/>
                <w:color w:val="000000"/>
                <w:sz w:val="18"/>
                <w:szCs w:val="18"/>
                <w:lang w:val="pt-BR"/>
              </w:rPr>
              <w:t>155.500,00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 w:val="0"/>
              <w:suppressAutoHyphens/>
              <w:spacing w:before="120" w:after="288" w:afterLines="120" w:line="312" w:lineRule="auto"/>
              <w:ind w:left="0" w:leftChars="0" w:right="0" w:rightChars="0"/>
              <w:jc w:val="center"/>
              <w:rPr>
                <w:rFonts w:hint="default" w:ascii="Arial" w:hAnsi="Arial" w:eastAsia="Segoe UI" w:cs="Arial"/>
                <w:b/>
                <w:bCs/>
                <w:color w:val="000000" w:themeColor="text1"/>
                <w:sz w:val="20"/>
                <w:szCs w:val="20"/>
                <w:lang w:val="pt-BR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EQUIPAMENTOS EM COMODATO (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pt-BR" w:eastAsia="zh-CN" w:bidi="ar"/>
              </w:rPr>
              <w:t xml:space="preserve">09 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UNIDADES), TERMINAL 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pt-BR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MÓVEL (MAQUINETAS E 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pt-BR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INSUMOS), INCLUSO 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pt-BR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SERVIÇO DE INSTALAÇÃO, TEF/ PIN PAD POS E CONCILIAÇÃO 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pt-BR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AUTOMÁTICA, ALÉM DA 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pt-BR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DISPONIBILIDADE DA 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pt-BR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PLATAFORMA DIGITAL DE 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pt-BR" w:eastAsia="zh-CN" w:bidi="ar"/>
              </w:rPr>
              <w:t xml:space="preserve"> 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PAGAMENTO ON LINE (ECOMMERCE), COM TAXAS DE ADMINISTRAÇÃO IDÊNTICAS ÀS PRATICADAS NAS MÁQUINAS DE CARTÃO. </w:t>
            </w:r>
          </w:p>
          <w:p>
            <w:pPr>
              <w:spacing w:before="120" w:after="288" w:afterLines="120" w:line="312" w:lineRule="auto"/>
              <w:ind w:left="0" w:leftChars="0" w:right="0" w:rightChars="0"/>
              <w:jc w:val="both"/>
              <w:rPr>
                <w:rFonts w:hint="default" w:ascii="Arial" w:hAnsi="Arial" w:eastAsia="Segoe UI" w:cs="Arial"/>
                <w:sz w:val="20"/>
                <w:szCs w:val="20"/>
                <w:lang w:val="pt-PT" w:eastAsia="en-US" w:bidi="ar-SA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suppressAutoHyphens/>
              <w:spacing w:after="120" w:line="276" w:lineRule="auto"/>
              <w:jc w:val="center"/>
              <w:rPr>
                <w:rFonts w:hint="default" w:cs="Arial"/>
                <w:sz w:val="18"/>
                <w:szCs w:val="18"/>
                <w:lang w:val="pt-BR"/>
              </w:rPr>
            </w:pPr>
            <w:r>
              <w:rPr>
                <w:rFonts w:hint="default" w:cs="Arial"/>
                <w:sz w:val="18"/>
                <w:szCs w:val="18"/>
                <w:lang w:val="pt-BR"/>
              </w:rPr>
              <w:t>09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uppressAutoHyphens/>
              <w:spacing w:after="120" w:line="276" w:lineRule="auto"/>
              <w:jc w:val="center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>ISENTO DE PAGAMENTO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suppressAutoHyphens/>
              <w:spacing w:after="120" w:line="276" w:lineRule="auto"/>
              <w:jc w:val="center"/>
              <w:rPr>
                <w:rFonts w:hint="default" w:cs="Arial"/>
                <w:color w:val="000000"/>
                <w:sz w:val="18"/>
                <w:szCs w:val="18"/>
                <w:lang w:val="pt-B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0" w:type="dxa"/>
            <w:gridSpan w:val="5"/>
          </w:tcPr>
          <w:p>
            <w:pPr>
              <w:widowControl w:val="0"/>
              <w:suppressAutoHyphens/>
              <w:wordWrap w:val="0"/>
              <w:spacing w:after="120" w:line="276" w:lineRule="auto"/>
              <w:jc w:val="right"/>
              <w:rPr>
                <w:rFonts w:hint="default" w:cs="Arial"/>
                <w:b/>
                <w:bCs/>
                <w:color w:val="000000"/>
                <w:szCs w:val="20"/>
                <w:lang w:val="pt-BR"/>
              </w:rPr>
            </w:pPr>
            <w:r>
              <w:rPr>
                <w:b/>
                <w:bCs/>
                <w:szCs w:val="20"/>
              </w:rPr>
              <w:t xml:space="preserve">R$ Total Máximo Aceitável para o Grupo 1: </w:t>
            </w:r>
            <w:bookmarkStart w:id="0" w:name="_Hlk146196920"/>
            <w:r>
              <w:rPr>
                <w:b/>
                <w:bCs/>
                <w:szCs w:val="20"/>
              </w:rPr>
              <w:t xml:space="preserve">R$ </w:t>
            </w:r>
            <w:bookmarkEnd w:id="0"/>
            <w:r>
              <w:rPr>
                <w:rFonts w:hint="default"/>
                <w:b/>
                <w:bCs/>
                <w:szCs w:val="20"/>
                <w:lang w:val="pt-BR"/>
              </w:rPr>
              <w:t>725.000,00 (setecentos e vinte e cinco mil reais)</w:t>
            </w:r>
          </w:p>
        </w:tc>
      </w:tr>
    </w:tbl>
    <w:p>
      <w:pPr>
        <w:jc w:val="both"/>
        <w:rPr>
          <w:rFonts w:cs="Arial"/>
          <w:b/>
          <w:bCs/>
          <w:szCs w:val="20"/>
        </w:rPr>
      </w:pPr>
    </w:p>
    <w:p>
      <w:pPr>
        <w:jc w:val="both"/>
        <w:rPr>
          <w:rFonts w:cs="Arial"/>
          <w:b/>
          <w:bCs/>
        </w:rPr>
      </w:pPr>
    </w:p>
    <w:p>
      <w:pPr>
        <w:jc w:val="both"/>
      </w:pPr>
      <w:r>
        <w:rPr>
          <w:rFonts w:cs="Arial"/>
          <w:b/>
          <w:bCs/>
        </w:rPr>
        <w:t>1.2</w:t>
      </w:r>
      <w:r>
        <w:rPr>
          <w:rFonts w:cs="Arial"/>
        </w:rPr>
        <w:t xml:space="preserve"> Para formulação dos preços de referência do Edital, foram utilizados os parâmetros conforme disposto Art. 5° da INSTRUÇÃO NORMATIVA Nº 65, DE 7 DE JULHO DE 2021. </w:t>
      </w:r>
    </w:p>
    <w:p>
      <w:pPr>
        <w:jc w:val="both"/>
        <w:rPr>
          <w:rFonts w:cs="Arial"/>
        </w:rPr>
      </w:pPr>
    </w:p>
    <w:p>
      <w:pPr>
        <w:jc w:val="both"/>
      </w:pPr>
      <w:r>
        <w:rPr>
          <w:rFonts w:cs="Arial"/>
          <w:b/>
          <w:bCs/>
        </w:rPr>
        <w:t>2. OUTRAS OBSERVAÇÕES:</w:t>
      </w:r>
    </w:p>
    <w:p>
      <w:pPr>
        <w:jc w:val="both"/>
        <w:rPr>
          <w:rFonts w:cs="Arial"/>
        </w:rPr>
      </w:pPr>
    </w:p>
    <w:p>
      <w:pPr>
        <w:jc w:val="both"/>
      </w:pPr>
      <w:r>
        <w:rPr>
          <w:rFonts w:cs="Arial"/>
        </w:rPr>
        <w:t xml:space="preserve">a) A PROPOSTA COMERCIAL DEVERÁ CONTER PLANILHA COM PREÇO UNITÁRIO DE TODOS OS ITENS OFERTADOS. DECLARAÇÃO EXPRESSA DE QUE OS PREÇOS CONTIDOS NA PROPOSTA INCLUEM TODOS OS CUSTOS, DESPESAS E ENCARGOS; 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  <w:r>
        <w:rPr>
          <w:rFonts w:cs="Arial"/>
        </w:rPr>
        <w:t xml:space="preserve">b) O VALOR TOTAL DE CADA ITEM NÃO PODERÁ SER SUPERIOR AO VALOR MÁXIMO ACEITÁVEL DA PLANILHA DO ITEM 1.1 DESTE ANEXO </w:t>
      </w:r>
      <w:r>
        <w:rPr>
          <w:rFonts w:hint="default" w:cs="Arial"/>
          <w:lang w:val="pt-BR"/>
        </w:rPr>
        <w:t>VI</w:t>
      </w:r>
      <w:r>
        <w:rPr>
          <w:rFonts w:cs="Arial"/>
        </w:rPr>
        <w:t>.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</w:pPr>
      <w:r>
        <w:rPr>
          <w:rFonts w:cs="Arial"/>
        </w:rPr>
        <w:t xml:space="preserve">c) </w:t>
      </w:r>
      <w:r>
        <w:rPr>
          <w:rFonts w:cs="Arial"/>
          <w:b/>
          <w:bCs/>
          <w:u w:val="single"/>
        </w:rPr>
        <w:t>NA PROPOSTA COMERCIAL AJUSTADA AO ÚLTIMO LANCE (DURANTE FASE DE JULGAMENTO PELO PREGOEIRO), SOMENTE SERÃO ACEITAS DUAS CASAS DECIMAIS APÓS A VÍRGULA</w:t>
      </w:r>
      <w:r>
        <w:rPr>
          <w:rFonts w:cs="Arial"/>
        </w:rPr>
        <w:t xml:space="preserve"> PARA OS PREÇOS UNITÁRIO E TOTAL.</w:t>
      </w:r>
    </w:p>
    <w:p>
      <w:pPr>
        <w:jc w:val="both"/>
        <w:rPr>
          <w:rFonts w:cs="Arial"/>
        </w:rPr>
      </w:pPr>
    </w:p>
    <w:p>
      <w:pPr>
        <w:jc w:val="both"/>
      </w:pPr>
      <w:r>
        <w:rPr>
          <w:rFonts w:cs="Arial"/>
        </w:rPr>
        <w:t xml:space="preserve">d) O VALOR FINAL DA PROPOSTA NÃO PODERÁ SER SUPERIOR AO OFERTADO NO SISTEMA </w:t>
      </w:r>
      <w:r>
        <w:rPr>
          <w:rFonts w:cs="Arial"/>
          <w:i/>
          <w:iCs/>
        </w:rPr>
        <w:t>“COMPRAS.GOV.BR”.</w:t>
      </w:r>
      <w:r>
        <w:rPr>
          <w:rFonts w:cs="Arial"/>
        </w:rPr>
        <w:t xml:space="preserve"> </w:t>
      </w:r>
    </w:p>
    <w:p>
      <w:pPr>
        <w:jc w:val="both"/>
        <w:rPr>
          <w:rFonts w:cs="Arial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</w:p>
    <w:sectPr>
      <w:headerReference r:id="rId5" w:type="default"/>
      <w:footerReference r:id="rId6" w:type="default"/>
      <w:pgSz w:w="11910" w:h="16850"/>
      <w:pgMar w:top="2000" w:right="700" w:bottom="1100" w:left="1320" w:header="652" w:footer="9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1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605"/>
      <w:gridCol w:w="4605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26" w:hRule="atLeast"/>
        <w:jc w:val="center"/>
      </w:trPr>
      <w:tc>
        <w:tcPr>
          <w:tcW w:w="4605" w:type="dxa"/>
        </w:tcPr>
        <w:p>
          <w:pPr>
            <w:pStyle w:val="1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Av. Presidente Marques, nº 59 Bairro Goiabeiras</w:t>
          </w:r>
        </w:p>
        <w:p>
          <w:pPr>
            <w:pStyle w:val="1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CEP 78.032-010  Cuiabá - MT</w:t>
          </w:r>
        </w:p>
        <w:p>
          <w:pPr>
            <w:pStyle w:val="13"/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  <w:szCs w:val="16"/>
            </w:rPr>
            <w:t>Tel: 65 3623 4075           www.coren-mt.gov.br</w:t>
          </w:r>
        </w:p>
      </w:tc>
      <w:tc>
        <w:tcPr>
          <w:tcW w:w="4605" w:type="dxa"/>
        </w:tcPr>
        <w:p>
          <w:pPr>
            <w:pStyle w:val="13"/>
            <w:tabs>
              <w:tab w:val="left" w:pos="3295"/>
            </w:tabs>
            <w:ind w:right="1094"/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  <w:lang w:eastAsia="pt-BR"/>
            </w:rPr>
            <w:drawing>
              <wp:inline distT="0" distB="0" distL="0" distR="0">
                <wp:extent cx="1194435" cy="459740"/>
                <wp:effectExtent l="0" t="0" r="5664" b="0"/>
                <wp:docPr id="4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4487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9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9210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9210" w:type="dxa"/>
        </w:tcPr>
        <w:p>
          <w:pPr>
            <w:pStyle w:val="12"/>
          </w:pPr>
          <w:r>
            <w:rPr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592580" cy="866775"/>
                <wp:effectExtent l="0" t="0" r="0" b="9525"/>
                <wp:wrapSquare wrapText="bothSides"/>
                <wp:docPr id="3" name="Imagem 7" descr="D3B5FEF2856CD294F4662F2B8D2AA897CB99_brasa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7" descr="D3B5FEF2856CD294F4662F2B8D2AA897CB99_brasa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258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21" w:hRule="atLeast"/>
      </w:trPr>
      <w:tc>
        <w:tcPr>
          <w:tcW w:w="9210" w:type="dxa"/>
        </w:tcPr>
        <w:p>
          <w:pPr>
            <w:pStyle w:val="12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CONSELHO REGIONAL DE ENFERMAGEM DE MATO GROSSO</w:t>
          </w:r>
        </w:p>
        <w:p>
          <w:pPr>
            <w:pStyle w:val="12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Criado pela Lei Nº 5.905 de 12/07/1973</w:t>
          </w:r>
        </w:p>
        <w:p>
          <w:pPr>
            <w:pStyle w:val="12"/>
            <w:jc w:val="center"/>
          </w:pPr>
          <w:r>
            <w:rPr>
              <w:rFonts w:ascii="Arial" w:hAnsi="Arial" w:cs="Arial"/>
              <w:b/>
              <w:sz w:val="20"/>
              <w:szCs w:val="20"/>
            </w:rPr>
            <w:t>Instalado pela Portaria Cofen N.º 001/1975</w:t>
          </w:r>
        </w:p>
      </w:tc>
    </w:tr>
  </w:tbl>
  <w:p>
    <w:pPr>
      <w:pStyle w:val="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5C100D"/>
    <w:multiLevelType w:val="multilevel"/>
    <w:tmpl w:val="1D5C100D"/>
    <w:lvl w:ilvl="0" w:tentative="0">
      <w:start w:val="1"/>
      <w:numFmt w:val="decimal"/>
      <w:pStyle w:val="18"/>
      <w:lvlText w:val="%1."/>
      <w:lvlJc w:val="left"/>
      <w:pPr>
        <w:ind w:left="360" w:hanging="360"/>
      </w:pPr>
      <w:rPr>
        <w:b/>
      </w:rPr>
    </w:lvl>
    <w:lvl w:ilvl="1" w:tentative="0">
      <w:start w:val="1"/>
      <w:numFmt w:val="decimal"/>
      <w:pStyle w:val="21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 w:tentative="0">
      <w:start w:val="1"/>
      <w:numFmt w:val="decimal"/>
      <w:pStyle w:val="25"/>
      <w:lvlText w:val="%1.%2.%3."/>
      <w:lvlJc w:val="left"/>
      <w:pPr>
        <w:ind w:left="1781" w:hanging="504"/>
      </w:pPr>
      <w:rPr>
        <w:rFonts w:hint="default" w:ascii="Arial" w:hAnsi="Arial"/>
        <w:b w:val="0"/>
        <w:i w:val="0"/>
        <w:strike w:val="0"/>
        <w:color w:val="auto"/>
        <w:sz w:val="20"/>
        <w:szCs w:val="20"/>
      </w:rPr>
    </w:lvl>
    <w:lvl w:ilvl="3" w:tentative="0">
      <w:start w:val="1"/>
      <w:numFmt w:val="decimal"/>
      <w:pStyle w:val="28"/>
      <w:lvlText w:val="%1.%2.%3.%4."/>
      <w:lvlJc w:val="left"/>
      <w:pPr>
        <w:ind w:left="2491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4936ECE"/>
    <w:rsid w:val="067B53AB"/>
    <w:rsid w:val="0C1046AE"/>
    <w:rsid w:val="0D331F18"/>
    <w:rsid w:val="10A31B89"/>
    <w:rsid w:val="17814E1C"/>
    <w:rsid w:val="187F3109"/>
    <w:rsid w:val="188C65AE"/>
    <w:rsid w:val="1F4472C1"/>
    <w:rsid w:val="2368077B"/>
    <w:rsid w:val="24955C14"/>
    <w:rsid w:val="29585081"/>
    <w:rsid w:val="2CE97170"/>
    <w:rsid w:val="2D6B7119"/>
    <w:rsid w:val="302C29AA"/>
    <w:rsid w:val="305B4C7A"/>
    <w:rsid w:val="31076F20"/>
    <w:rsid w:val="35C9034A"/>
    <w:rsid w:val="3B3A16A1"/>
    <w:rsid w:val="3C1F279A"/>
    <w:rsid w:val="3C405514"/>
    <w:rsid w:val="3D161F9C"/>
    <w:rsid w:val="3E1A616F"/>
    <w:rsid w:val="3EF3527F"/>
    <w:rsid w:val="3F6404CE"/>
    <w:rsid w:val="4042770E"/>
    <w:rsid w:val="41222A65"/>
    <w:rsid w:val="46D911F0"/>
    <w:rsid w:val="49067541"/>
    <w:rsid w:val="4D360C30"/>
    <w:rsid w:val="52C45BA4"/>
    <w:rsid w:val="56F053EB"/>
    <w:rsid w:val="5701202D"/>
    <w:rsid w:val="57A55EA4"/>
    <w:rsid w:val="57B317F1"/>
    <w:rsid w:val="5D4A7CC2"/>
    <w:rsid w:val="5D956E98"/>
    <w:rsid w:val="63DF4869"/>
    <w:rsid w:val="646130A5"/>
    <w:rsid w:val="6AB778B5"/>
    <w:rsid w:val="6B1E2C4D"/>
    <w:rsid w:val="6EFF612B"/>
    <w:rsid w:val="79190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Segoe UI" w:hAnsi="Segoe UI" w:eastAsia="Segoe UI" w:cs="Segoe UI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spacing w:before="211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3">
    <w:name w:val="heading 2"/>
    <w:basedOn w:val="1"/>
    <w:qFormat/>
    <w:uiPriority w:val="1"/>
    <w:pPr>
      <w:spacing w:before="1"/>
      <w:ind w:left="382"/>
      <w:outlineLvl w:val="2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4">
    <w:name w:val="heading 3"/>
    <w:basedOn w:val="1"/>
    <w:qFormat/>
    <w:uiPriority w:val="1"/>
    <w:pPr>
      <w:ind w:left="382"/>
      <w:outlineLvl w:val="3"/>
    </w:pPr>
    <w:rPr>
      <w:rFonts w:ascii="Segoe UI" w:hAnsi="Segoe UI" w:eastAsia="Segoe UI" w:cs="Segoe UI"/>
      <w:b/>
      <w:bCs/>
      <w:sz w:val="22"/>
      <w:szCs w:val="22"/>
      <w:lang w:val="pt-PT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annotation reference"/>
    <w:basedOn w:val="5"/>
    <w:unhideWhenUsed/>
    <w:qFormat/>
    <w:uiPriority w:val="0"/>
    <w:rPr>
      <w:sz w:val="16"/>
      <w:szCs w:val="16"/>
    </w:rPr>
  </w:style>
  <w:style w:type="character" w:styleId="8">
    <w:name w:val="Hyperlink"/>
    <w:qFormat/>
    <w:uiPriority w:val="0"/>
    <w:rPr>
      <w:color w:val="000080"/>
      <w:u w:val="single"/>
    </w:rPr>
  </w:style>
  <w:style w:type="paragraph" w:styleId="9">
    <w:name w:val="Body Text"/>
    <w:basedOn w:val="1"/>
    <w:qFormat/>
    <w:uiPriority w:val="1"/>
    <w:rPr>
      <w:rFonts w:ascii="Segoe UI" w:hAnsi="Segoe UI" w:eastAsia="Segoe UI" w:cs="Segoe UI"/>
      <w:sz w:val="22"/>
      <w:szCs w:val="22"/>
      <w:lang w:val="pt-PT" w:eastAsia="en-US" w:bidi="ar-SA"/>
    </w:rPr>
  </w:style>
  <w:style w:type="paragraph" w:styleId="10">
    <w:name w:val="annotation text"/>
    <w:basedOn w:val="1"/>
    <w:unhideWhenUsed/>
    <w:qFormat/>
    <w:uiPriority w:val="99"/>
    <w:rPr>
      <w:sz w:val="20"/>
      <w:szCs w:val="20"/>
    </w:rPr>
  </w:style>
  <w:style w:type="paragraph" w:styleId="11">
    <w:name w:val="Normal (Web)"/>
    <w:basedOn w:val="1"/>
    <w:qFormat/>
    <w:uiPriority w:val="99"/>
    <w:pPr>
      <w:spacing w:before="100" w:beforeAutospacing="1" w:after="100" w:afterAutospacing="1"/>
    </w:pPr>
  </w:style>
  <w:style w:type="paragraph" w:styleId="12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3">
    <w:name w:val="footer"/>
    <w:basedOn w:val="1"/>
    <w:unhideWhenUsed/>
    <w:qFormat/>
    <w:uiPriority w:val="99"/>
    <w:pPr>
      <w:tabs>
        <w:tab w:val="center" w:pos="4252"/>
        <w:tab w:val="right" w:pos="8504"/>
      </w:tabs>
    </w:pPr>
    <w:rPr>
      <w:rFonts w:ascii="Calibri" w:hAnsi="Calibri" w:eastAsia="Calibri"/>
      <w:sz w:val="22"/>
      <w:szCs w:val="22"/>
      <w:lang w:eastAsia="en-US"/>
    </w:rPr>
  </w:style>
  <w:style w:type="table" w:styleId="14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  <w:pPr>
      <w:ind w:left="382"/>
      <w:jc w:val="both"/>
    </w:pPr>
    <w:rPr>
      <w:rFonts w:ascii="Segoe UI" w:hAnsi="Segoe UI" w:eastAsia="Segoe UI" w:cs="Segoe UI"/>
      <w:lang w:val="pt-PT" w:eastAsia="en-US" w:bidi="ar-SA"/>
    </w:rPr>
  </w:style>
  <w:style w:type="paragraph" w:customStyle="1" w:styleId="17">
    <w:name w:val="Table Paragraph"/>
    <w:basedOn w:val="1"/>
    <w:qFormat/>
    <w:uiPriority w:val="1"/>
    <w:rPr>
      <w:rFonts w:ascii="Calibri" w:hAnsi="Calibri" w:eastAsia="Calibri" w:cs="Calibri"/>
      <w:lang w:val="pt-PT" w:eastAsia="en-US" w:bidi="ar-SA"/>
    </w:rPr>
  </w:style>
  <w:style w:type="paragraph" w:customStyle="1" w:styleId="18">
    <w:name w:val="Nivel 01"/>
    <w:basedOn w:val="2"/>
    <w:next w:val="1"/>
    <w:qFormat/>
    <w:uiPriority w:val="0"/>
    <w:pPr>
      <w:numPr>
        <w:ilvl w:val="0"/>
        <w:numId w:val="1"/>
      </w:numPr>
      <w:tabs>
        <w:tab w:val="left" w:pos="567"/>
      </w:tabs>
      <w:spacing w:before="240" w:after="120" w:line="276" w:lineRule="auto"/>
      <w:ind w:left="0" w:firstLine="0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19">
    <w:name w:val="Nível 1-Sem Num Preto"/>
    <w:basedOn w:val="20"/>
    <w:qFormat/>
    <w:uiPriority w:val="0"/>
    <w:pPr>
      <w:tabs>
        <w:tab w:val="left" w:pos="567"/>
      </w:tabs>
    </w:pPr>
    <w:rPr>
      <w:color w:val="auto"/>
      <w:lang w:eastAsia="zh-CN" w:bidi="hi-IN"/>
    </w:rPr>
  </w:style>
  <w:style w:type="paragraph" w:customStyle="1" w:styleId="20">
    <w:name w:val="Nível 1-Sem Num"/>
    <w:basedOn w:val="18"/>
    <w:qFormat/>
    <w:uiPriority w:val="0"/>
    <w:pPr>
      <w:numPr>
        <w:numId w:val="0"/>
      </w:numPr>
      <w:outlineLvl w:val="1"/>
    </w:pPr>
    <w:rPr>
      <w:color w:val="FF0000"/>
    </w:rPr>
  </w:style>
  <w:style w:type="paragraph" w:customStyle="1" w:styleId="21">
    <w:name w:val="Nivel 2"/>
    <w:basedOn w:val="1"/>
    <w:qFormat/>
    <w:uiPriority w:val="0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eastAsia="Arial" w:cs="Arial"/>
      <w:color w:val="000000"/>
      <w:sz w:val="20"/>
      <w:szCs w:val="20"/>
    </w:rPr>
  </w:style>
  <w:style w:type="character" w:customStyle="1" w:styleId="22">
    <w:name w:val="normaltextrun"/>
    <w:basedOn w:val="5"/>
    <w:qFormat/>
    <w:uiPriority w:val="0"/>
  </w:style>
  <w:style w:type="character" w:customStyle="1" w:styleId="23">
    <w:name w:val="findhit"/>
    <w:basedOn w:val="5"/>
    <w:qFormat/>
    <w:uiPriority w:val="0"/>
  </w:style>
  <w:style w:type="paragraph" w:customStyle="1" w:styleId="24">
    <w:name w:val="Nível 2 -Red"/>
    <w:basedOn w:val="21"/>
    <w:qFormat/>
    <w:uiPriority w:val="0"/>
    <w:rPr>
      <w:i/>
      <w:iCs/>
      <w:color w:val="FF0000"/>
    </w:rPr>
  </w:style>
  <w:style w:type="paragraph" w:customStyle="1" w:styleId="25">
    <w:name w:val="Nivel 3"/>
    <w:basedOn w:val="1"/>
    <w:qFormat/>
    <w:uiPriority w:val="0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26">
    <w:name w:val="Nível 3-R"/>
    <w:basedOn w:val="25"/>
    <w:qFormat/>
    <w:uiPriority w:val="0"/>
    <w:rPr>
      <w:i/>
      <w:iCs/>
      <w:color w:val="FF0000"/>
    </w:rPr>
  </w:style>
  <w:style w:type="paragraph" w:customStyle="1" w:styleId="27">
    <w:name w:val="Nível 4-R"/>
    <w:basedOn w:val="28"/>
    <w:qFormat/>
    <w:uiPriority w:val="0"/>
    <w:rPr>
      <w:i/>
      <w:iCs/>
      <w:color w:val="FF0000"/>
    </w:rPr>
  </w:style>
  <w:style w:type="paragraph" w:customStyle="1" w:styleId="28">
    <w:name w:val="Nivel 4"/>
    <w:basedOn w:val="25"/>
    <w:qFormat/>
    <w:uiPriority w:val="0"/>
    <w:pPr>
      <w:numPr>
        <w:ilvl w:val="3"/>
      </w:numPr>
      <w:ind w:left="567" w:firstLine="0"/>
    </w:pPr>
    <w:rPr>
      <w:color w:val="auto"/>
    </w:rPr>
  </w:style>
  <w:style w:type="character" w:customStyle="1" w:styleId="29">
    <w:name w:val="Link da Internet"/>
    <w:qFormat/>
    <w:uiPriority w:val="0"/>
    <w:rPr>
      <w:color w:val="0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2024-01-29T16:05:00Z</dcterms:created>
  <dc:creator>Paulo Sergio Goncalves Pereira</dc:creator>
  <cp:lastModifiedBy>Elemarcia Rezer</cp:lastModifiedBy>
  <cp:lastPrinted>2024-02-28T17:26:19Z</cp:lastPrinted>
  <dcterms:modified xsi:type="dcterms:W3CDTF">2024-02-28T17:26:54Z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2024-01-29T00:00:00Z</vt:filetime>
  </property>
  <property fmtid="{D5CDD505-2E9C-101B-9397-08002B2CF9AE}" pid="5" name="Producer">
    <vt:lpwstr>Microsoft® Word para Microsoft 365</vt:lpwstr>
  </property>
  <property fmtid="{D5CDD505-2E9C-101B-9397-08002B2CF9AE}" pid="6" name="KSOProductBuildVer">
    <vt:lpwstr>1046-12.2.0.13489</vt:lpwstr>
  </property>
  <property fmtid="{D5CDD505-2E9C-101B-9397-08002B2CF9AE}" pid="7" name="ICV">
    <vt:lpwstr>C35193786E4F43BDA29B70DAA2D1D43E_13</vt:lpwstr>
  </property>
</Properties>
</file>