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88" w:afterLines="120" w:line="276" w:lineRule="auto"/>
        <w:jc w:val="center"/>
        <w:rPr>
          <w:rFonts w:hint="default" w:ascii="Arial" w:hAnsi="Arial" w:cs="Arial"/>
          <w:b/>
          <w:bCs/>
          <w:color w:val="000000" w:themeColor="text1"/>
          <w:sz w:val="20"/>
          <w:szCs w:val="20"/>
          <w:lang w:val="pt-BR"/>
          <w14:textFill>
            <w14:solidFill>
              <w14:schemeClr w14:val="tx1"/>
            </w14:solidFill>
          </w14:textFill>
        </w:rPr>
      </w:pPr>
      <w:r>
        <w:rPr>
          <w:rFonts w:ascii="Arial" w:hAnsi="Arial" w:cs="Arial"/>
          <w:b/>
          <w:bCs/>
          <w:color w:val="000000" w:themeColor="text1"/>
          <w:sz w:val="20"/>
          <w:szCs w:val="20"/>
          <w14:textFill>
            <w14:solidFill>
              <w14:schemeClr w14:val="tx1"/>
            </w14:solidFill>
          </w14:textFill>
        </w:rPr>
        <w:t>ANEXO II</w:t>
      </w:r>
      <w:r>
        <w:rPr>
          <w:rFonts w:hint="default" w:ascii="Arial" w:hAnsi="Arial" w:cs="Arial"/>
          <w:b/>
          <w:bCs/>
          <w:color w:val="000000" w:themeColor="text1"/>
          <w:sz w:val="20"/>
          <w:szCs w:val="20"/>
          <w:lang w:val="pt-BR"/>
          <w14:textFill>
            <w14:solidFill>
              <w14:schemeClr w14:val="tx1"/>
            </w14:solidFill>
          </w14:textFill>
        </w:rPr>
        <w:t>I</w:t>
      </w:r>
    </w:p>
    <w:p>
      <w:pPr>
        <w:spacing w:after="288" w:afterLines="120" w:line="276" w:lineRule="auto"/>
        <w:jc w:val="center"/>
        <w:rPr>
          <w:rFonts w:ascii="Arial" w:hAnsi="Arial" w:cs="Arial"/>
          <w:b/>
          <w:bCs/>
          <w:color w:val="000000" w:themeColor="text1"/>
          <w:sz w:val="20"/>
          <w:szCs w:val="20"/>
          <w14:textFill>
            <w14:solidFill>
              <w14:schemeClr w14:val="tx1"/>
            </w14:solidFill>
          </w14:textFill>
        </w:rPr>
      </w:pPr>
      <w:r>
        <w:rPr>
          <w:rFonts w:ascii="Arial" w:hAnsi="Arial" w:cs="Arial"/>
          <w:b/>
          <w:bCs/>
          <w:color w:val="000000" w:themeColor="text1"/>
          <w:sz w:val="20"/>
          <w:szCs w:val="20"/>
          <w14:textFill>
            <w14:solidFill>
              <w14:schemeClr w14:val="tx1"/>
            </w14:solidFill>
          </w14:textFill>
        </w:rPr>
        <w:t>MINUTA DE TERMO DE CONTRATO</w:t>
      </w:r>
      <w:r>
        <w:rPr>
          <w:rFonts w:ascii="Arial" w:hAnsi="Arial" w:cs="Arial"/>
          <w:b/>
          <w:bCs/>
          <w:color w:val="000000" w:themeColor="text1"/>
          <w:sz w:val="20"/>
          <w:szCs w:val="20"/>
          <w14:textFill>
            <w14:solidFill>
              <w14:schemeClr w14:val="tx1"/>
            </w14:solidFill>
          </w14:textFill>
        </w:rPr>
        <w:br w:type="textWrapping"/>
      </w:r>
      <w:r>
        <w:rPr>
          <w:rFonts w:ascii="Arial" w:hAnsi="Arial" w:cs="Arial"/>
          <w:b/>
          <w:bCs/>
          <w:color w:val="000000" w:themeColor="text1"/>
          <w:sz w:val="20"/>
          <w:szCs w:val="20"/>
          <w14:textFill>
            <w14:solidFill>
              <w14:schemeClr w14:val="tx1"/>
            </w14:solidFill>
          </w14:textFill>
        </w:rPr>
        <w:t>Lei nº 14.133, de 1º de abril de 2021</w:t>
      </w:r>
      <w:r>
        <w:rPr>
          <w:rFonts w:ascii="Arial" w:hAnsi="Arial" w:cs="Arial"/>
          <w:b/>
          <w:bCs/>
          <w:color w:val="000000" w:themeColor="text1"/>
          <w:sz w:val="20"/>
          <w:szCs w:val="20"/>
          <w14:textFill>
            <w14:solidFill>
              <w14:schemeClr w14:val="tx1"/>
            </w14:solidFill>
          </w14:textFill>
        </w:rPr>
        <w:br w:type="textWrapping"/>
      </w:r>
      <w:r>
        <w:rPr>
          <w:rFonts w:ascii="Arial" w:hAnsi="Arial" w:cs="Arial"/>
          <w:b/>
          <w:bCs/>
          <w:color w:val="000000" w:themeColor="text1"/>
          <w:sz w:val="20"/>
          <w:szCs w:val="20"/>
          <w14:textFill>
            <w14:solidFill>
              <w14:schemeClr w14:val="tx1"/>
            </w14:solidFill>
          </w14:textFill>
        </w:rPr>
        <w:t>SERVIÇOS – LICITAÇÃO</w:t>
      </w:r>
    </w:p>
    <w:p>
      <w:pPr>
        <w:spacing w:after="120" w:line="360" w:lineRule="auto"/>
        <w:ind w:left="4253" w:right="-15"/>
        <w:jc w:val="both"/>
        <w:rPr>
          <w:rFonts w:hint="eastAsia" w:cs="Arial"/>
          <w:b/>
          <w:szCs w:val="20"/>
        </w:rPr>
      </w:pPr>
      <w:r>
        <w:rPr>
          <w:rFonts w:cs="Arial"/>
          <w:b/>
          <w:szCs w:val="20"/>
        </w:rPr>
        <w:t xml:space="preserve">TERMO DE CONTRATO DE PRESTAÇÃO DE SERVIÇOS  QUE FAZEM ENTRE SI O  CONSELHO REGIONAL DE ENFERMAGEM DE </w:t>
      </w:r>
      <w:r>
        <w:rPr>
          <w:rFonts w:hint="default" w:cs="Arial"/>
          <w:b/>
          <w:szCs w:val="20"/>
          <w:lang w:val="pt-BR"/>
        </w:rPr>
        <w:t>MATO GROSSO</w:t>
      </w:r>
      <w:r>
        <w:rPr>
          <w:rFonts w:cs="Arial"/>
          <w:b/>
          <w:szCs w:val="20"/>
        </w:rPr>
        <w:t xml:space="preserve">, E A EMPRESA .............................................................  </w:t>
      </w:r>
    </w:p>
    <w:p>
      <w:pPr>
        <w:spacing w:before="120" w:after="120" w:line="276" w:lineRule="auto"/>
        <w:jc w:val="both"/>
        <w:rPr>
          <w:rFonts w:ascii="Arial" w:hAnsi="Arial" w:cs="Arial"/>
          <w:sz w:val="20"/>
          <w:szCs w:val="20"/>
        </w:rPr>
      </w:pPr>
      <w:r>
        <w:rPr>
          <w:rFonts w:hint="default" w:ascii="Times New Roman" w:hAnsi="Times New Roman" w:cs="Times New Roman"/>
          <w:b/>
          <w:sz w:val="24"/>
          <w:szCs w:val="24"/>
        </w:rPr>
        <w:t>O CONSELHO REGIONAL DE ENFERMAGEM DE MATO GROSSO - COREN-MT</w:t>
      </w:r>
      <w:r>
        <w:rPr>
          <w:rFonts w:hint="default" w:ascii="Times New Roman" w:hAnsi="Times New Roman" w:cs="Times New Roman"/>
          <w:sz w:val="24"/>
          <w:szCs w:val="24"/>
        </w:rPr>
        <w:t>, doravante denominado CONTRATANTE, Autarquia Federal, inscrita no CNPJ (MF) sob o nº 08.336.841/0001-86, com sede a Rua Presidente Marques, 59, Bairro: Bosque, na cidade de Cuiabá/MT, neste ato representado pela sua Presidente</w:t>
      </w:r>
      <w:r>
        <w:rPr>
          <w:rFonts w:ascii="Arial" w:hAnsi="Arial" w:eastAsia="Arial" w:cs="Arial"/>
          <w:sz w:val="20"/>
          <w:szCs w:val="20"/>
        </w:rPr>
        <w:t>,</w:t>
      </w:r>
      <w:r>
        <w:rPr>
          <w:rFonts w:ascii="Arial" w:hAnsi="Arial" w:eastAsia="Arial" w:cs="Arial"/>
          <w:b/>
          <w:bCs/>
          <w:sz w:val="20"/>
          <w:szCs w:val="20"/>
        </w:rPr>
        <w:t xml:space="preserve"> </w:t>
      </w:r>
      <w:r>
        <w:rPr>
          <w:rFonts w:hint="default" w:ascii="Arial" w:hAnsi="Arial" w:eastAsia="Arial" w:cs="Arial"/>
          <w:b/>
          <w:bCs/>
          <w:sz w:val="20"/>
          <w:szCs w:val="20"/>
          <w:lang w:val="pt-BR"/>
        </w:rPr>
        <w:t>BRUNA KAROLINE DE ALMEIDA SANTIAGO</w:t>
      </w:r>
      <w:r>
        <w:rPr>
          <w:rFonts w:ascii="Arial" w:hAnsi="Arial" w:eastAsia="Arial" w:cs="Arial"/>
          <w:b/>
          <w:bCs/>
          <w:sz w:val="20"/>
          <w:szCs w:val="20"/>
        </w:rPr>
        <w:t xml:space="preserve"> </w:t>
      </w:r>
      <w:r>
        <w:rPr>
          <w:rFonts w:hint="default" w:ascii="Arial" w:hAnsi="Arial" w:eastAsia="Arial" w:cs="Arial"/>
          <w:sz w:val="20"/>
          <w:szCs w:val="20"/>
          <w:lang w:val="pt-BR"/>
        </w:rPr>
        <w:t>nomeada pela DECISÃO COREN-MT N.º 168/2023, datado em 21 de dezembro de 2023</w:t>
      </w:r>
      <w:r>
        <w:rPr>
          <w:rFonts w:ascii="Arial" w:hAnsi="Arial" w:eastAsia="Arial" w:cs="Arial"/>
          <w:sz w:val="20"/>
          <w:szCs w:val="20"/>
        </w:rPr>
        <w:t>, publicada no</w:t>
      </w:r>
      <w:r>
        <w:rPr>
          <w:rFonts w:ascii="Arial" w:hAnsi="Arial" w:eastAsia="Arial" w:cs="Arial"/>
          <w:i/>
          <w:iCs/>
          <w:sz w:val="20"/>
          <w:szCs w:val="20"/>
        </w:rPr>
        <w:t xml:space="preserve"> DOU </w:t>
      </w:r>
      <w:r>
        <w:rPr>
          <w:rFonts w:ascii="Arial" w:hAnsi="Arial" w:eastAsia="Arial" w:cs="Arial"/>
          <w:sz w:val="20"/>
          <w:szCs w:val="20"/>
        </w:rPr>
        <w:t>de</w:t>
      </w:r>
      <w:r>
        <w:rPr>
          <w:rFonts w:hint="default" w:ascii="Arial" w:hAnsi="Arial" w:eastAsia="Arial" w:cs="Arial"/>
          <w:sz w:val="20"/>
          <w:szCs w:val="20"/>
          <w:lang w:val="pt-BR"/>
        </w:rPr>
        <w:t xml:space="preserve"> 22</w:t>
      </w:r>
      <w:r>
        <w:rPr>
          <w:rFonts w:ascii="Arial" w:hAnsi="Arial" w:eastAsia="Arial" w:cs="Arial"/>
          <w:sz w:val="20"/>
          <w:szCs w:val="20"/>
        </w:rPr>
        <w:t xml:space="preserve"> de </w:t>
      </w:r>
      <w:r>
        <w:rPr>
          <w:rFonts w:hint="default" w:ascii="Arial" w:hAnsi="Arial" w:eastAsia="Arial" w:cs="Arial"/>
          <w:sz w:val="20"/>
          <w:szCs w:val="20"/>
          <w:lang w:val="pt-BR"/>
        </w:rPr>
        <w:t>dezembro</w:t>
      </w:r>
      <w:r>
        <w:rPr>
          <w:rFonts w:ascii="Arial" w:hAnsi="Arial" w:eastAsia="Arial" w:cs="Arial"/>
          <w:sz w:val="20"/>
          <w:szCs w:val="20"/>
        </w:rPr>
        <w:t xml:space="preserve"> de </w:t>
      </w:r>
      <w:r>
        <w:rPr>
          <w:rFonts w:hint="default" w:ascii="Arial" w:hAnsi="Arial" w:eastAsia="Arial" w:cs="Arial"/>
          <w:sz w:val="20"/>
          <w:szCs w:val="20"/>
          <w:lang w:val="pt-BR"/>
        </w:rPr>
        <w:t>2023</w:t>
      </w:r>
      <w:r>
        <w:rPr>
          <w:rFonts w:ascii="Arial" w:hAnsi="Arial" w:eastAsia="Arial" w:cs="Arial"/>
          <w:sz w:val="20"/>
          <w:szCs w:val="20"/>
        </w:rPr>
        <w:t xml:space="preserve">, portador da </w:t>
      </w:r>
      <w:r>
        <w:rPr>
          <w:rFonts w:hint="default" w:ascii="Arial" w:hAnsi="Arial" w:eastAsia="Arial" w:cs="Arial"/>
          <w:sz w:val="20"/>
          <w:szCs w:val="20"/>
          <w:lang w:val="pt-BR"/>
        </w:rPr>
        <w:t>Carteira Funcional do COREN-MT sob n.º 442453-ENF</w:t>
      </w:r>
      <w:r>
        <w:rPr>
          <w:rFonts w:ascii="Arial" w:hAnsi="Arial" w:eastAsia="Arial" w:cs="Arial"/>
          <w:sz w:val="20"/>
          <w:szCs w:val="20"/>
        </w:rPr>
        <w:t xml:space="preserve">, doravante denominado CONTRATANTE, e o(a) </w:t>
      </w:r>
      <w:r>
        <w:rPr>
          <w:rFonts w:ascii="Arial" w:hAnsi="Arial" w:eastAsia="Arial" w:cs="Arial"/>
          <w:color w:val="FF0000"/>
          <w:sz w:val="20"/>
          <w:szCs w:val="20"/>
        </w:rPr>
        <w:t>..............................,</w:t>
      </w:r>
      <w:r>
        <w:rPr>
          <w:rFonts w:ascii="Arial" w:hAnsi="Arial" w:eastAsia="Arial" w:cs="Arial"/>
          <w:sz w:val="20"/>
          <w:szCs w:val="20"/>
        </w:rPr>
        <w:t xml:space="preserve"> </w:t>
      </w:r>
      <w:r>
        <w:rPr>
          <w:rFonts w:ascii="Arial" w:hAnsi="Arial" w:eastAsia="Arial" w:cs="Arial"/>
          <w:i/>
          <w:iCs/>
          <w:color w:val="FF0000"/>
          <w:sz w:val="20"/>
          <w:szCs w:val="20"/>
        </w:rPr>
        <w:t>inscrito(a) no CNPJ/MF sob o nº ............................, sediado(a) na</w:t>
      </w:r>
      <w:r>
        <w:rPr>
          <w:rFonts w:ascii="Arial" w:hAnsi="Arial" w:eastAsia="Arial" w:cs="Arial"/>
          <w:sz w:val="20"/>
          <w:szCs w:val="20"/>
        </w:rPr>
        <w:t xml:space="preserve"> </w:t>
      </w:r>
      <w:r>
        <w:rPr>
          <w:rFonts w:ascii="Arial" w:hAnsi="Arial" w:eastAsia="Arial" w:cs="Arial"/>
          <w:color w:val="FF0000"/>
          <w:sz w:val="20"/>
          <w:szCs w:val="20"/>
        </w:rPr>
        <w:t>...................................</w:t>
      </w:r>
      <w:r>
        <w:rPr>
          <w:rFonts w:ascii="Arial" w:hAnsi="Arial" w:eastAsia="Arial" w:cs="Arial"/>
          <w:sz w:val="20"/>
          <w:szCs w:val="20"/>
        </w:rPr>
        <w:t xml:space="preserve">, doravante designado CONTRATADO, </w:t>
      </w:r>
      <w:r>
        <w:rPr>
          <w:rFonts w:ascii="Arial" w:hAnsi="Arial" w:eastAsia="Arial" w:cs="Arial"/>
          <w:i/>
          <w:iCs/>
          <w:color w:val="FF0000"/>
          <w:sz w:val="20"/>
          <w:szCs w:val="20"/>
        </w:rPr>
        <w:t>neste ato representado(a) por</w:t>
      </w:r>
      <w:r>
        <w:rPr>
          <w:rFonts w:ascii="Arial" w:hAnsi="Arial" w:eastAsia="Arial" w:cs="Arial"/>
          <w:color w:val="FF0000"/>
          <w:sz w:val="20"/>
          <w:szCs w:val="20"/>
        </w:rPr>
        <w:t xml:space="preserve"> </w:t>
      </w:r>
      <w:r>
        <w:rPr>
          <w:rFonts w:ascii="Arial" w:hAnsi="Arial" w:eastAsia="Arial" w:cs="Arial"/>
          <w:sz w:val="20"/>
          <w:szCs w:val="20"/>
        </w:rPr>
        <w:t xml:space="preserve">.................................. </w:t>
      </w:r>
      <w:r>
        <w:rPr>
          <w:rFonts w:ascii="Arial" w:hAnsi="Arial" w:eastAsia="Arial" w:cs="Arial"/>
          <w:color w:val="FF0000"/>
          <w:sz w:val="20"/>
          <w:szCs w:val="20"/>
        </w:rPr>
        <w:t>(nome e função no contratado)</w:t>
      </w:r>
      <w:r>
        <w:rPr>
          <w:rFonts w:ascii="Arial" w:hAnsi="Arial" w:eastAsia="Arial" w:cs="Arial"/>
          <w:sz w:val="20"/>
          <w:szCs w:val="20"/>
        </w:rPr>
        <w:t xml:space="preserve">, </w:t>
      </w:r>
      <w:r>
        <w:rPr>
          <w:rFonts w:ascii="Arial" w:hAnsi="Arial" w:eastAsia="Arial" w:cs="Arial"/>
          <w:i/>
          <w:iCs/>
          <w:color w:val="FF0000"/>
          <w:sz w:val="20"/>
          <w:szCs w:val="20"/>
        </w:rPr>
        <w:t xml:space="preserve">conforme atos constitutivos da empresa </w:t>
      </w:r>
      <w:r>
        <w:rPr>
          <w:rFonts w:ascii="Arial" w:hAnsi="Arial" w:eastAsia="Arial" w:cs="Arial"/>
          <w:b/>
          <w:bCs/>
          <w:i/>
          <w:iCs/>
          <w:color w:val="FF0000"/>
          <w:sz w:val="20"/>
          <w:szCs w:val="20"/>
        </w:rPr>
        <w:t>OU</w:t>
      </w:r>
      <w:r>
        <w:rPr>
          <w:rFonts w:ascii="Arial" w:hAnsi="Arial" w:eastAsia="Arial" w:cs="Arial"/>
          <w:i/>
          <w:iCs/>
          <w:color w:val="FF0000"/>
          <w:sz w:val="20"/>
          <w:szCs w:val="20"/>
        </w:rPr>
        <w:t xml:space="preserve"> procuração apresentada nos autos, </w:t>
      </w:r>
      <w:r>
        <w:rPr>
          <w:rFonts w:ascii="Arial" w:hAnsi="Arial" w:eastAsia="Arial" w:cs="Arial"/>
          <w:sz w:val="20"/>
          <w:szCs w:val="20"/>
        </w:rPr>
        <w:t xml:space="preserve">tendo em vista o que consta no Processo nº </w:t>
      </w:r>
      <w:r>
        <w:rPr>
          <w:rFonts w:hint="default" w:ascii="Arial" w:hAnsi="Arial" w:eastAsia="Arial" w:cs="Arial"/>
          <w:color w:val="FF0000"/>
          <w:sz w:val="20"/>
          <w:szCs w:val="20"/>
          <w:lang w:val="pt-BR"/>
        </w:rPr>
        <w:t xml:space="preserve">03/2024 </w:t>
      </w:r>
      <w:r>
        <w:rPr>
          <w:rFonts w:ascii="Arial" w:hAnsi="Arial" w:eastAsia="Arial" w:cs="Arial"/>
          <w:sz w:val="20"/>
          <w:szCs w:val="20"/>
        </w:rPr>
        <w:t xml:space="preserve">e em observância às disposições da </w:t>
      </w:r>
      <w:r>
        <w:fldChar w:fldCharType="begin"/>
      </w:r>
      <w:r>
        <w:instrText xml:space="preserve"> HYPERLINK "http://www.planalto.gov.br/ccivil_03/_ato2019-2022/2021/lei/L14133.htm" </w:instrText>
      </w:r>
      <w:r>
        <w:fldChar w:fldCharType="separate"/>
      </w:r>
      <w:r>
        <w:rPr>
          <w:rStyle w:val="13"/>
          <w:rFonts w:ascii="Arial" w:hAnsi="Arial" w:eastAsia="Arial" w:cs="Arial"/>
          <w:sz w:val="20"/>
          <w:szCs w:val="20"/>
        </w:rPr>
        <w:t>Lei nº 14.133, de 1º de abril de 2021</w:t>
      </w:r>
      <w:r>
        <w:rPr>
          <w:rStyle w:val="13"/>
          <w:rFonts w:ascii="Arial" w:hAnsi="Arial" w:eastAsia="Arial" w:cs="Arial"/>
          <w:sz w:val="20"/>
          <w:szCs w:val="20"/>
        </w:rPr>
        <w:fldChar w:fldCharType="end"/>
      </w:r>
      <w:r>
        <w:rPr>
          <w:rFonts w:ascii="Arial" w:hAnsi="Arial" w:eastAsia="Arial" w:cs="Arial"/>
          <w:sz w:val="20"/>
          <w:szCs w:val="20"/>
        </w:rPr>
        <w:t xml:space="preserve">, e demais legislação aplicável, resolvem celebrar o presente Termo de Contrato, decorrente </w:t>
      </w:r>
      <w:r>
        <w:rPr>
          <w:rFonts w:ascii="Arial" w:hAnsi="Arial" w:eastAsia="Arial" w:cs="Arial"/>
          <w:i/>
          <w:iCs/>
          <w:color w:val="FF0000"/>
          <w:sz w:val="20"/>
          <w:szCs w:val="20"/>
        </w:rPr>
        <w:t xml:space="preserve">do Pregão Eletrônico n. </w:t>
      </w:r>
      <w:r>
        <w:rPr>
          <w:rFonts w:hint="default" w:ascii="Arial" w:hAnsi="Arial" w:eastAsia="Arial" w:cs="Arial"/>
          <w:i/>
          <w:iCs/>
          <w:color w:val="FF0000"/>
          <w:sz w:val="20"/>
          <w:szCs w:val="20"/>
          <w:lang w:val="pt-BR"/>
        </w:rPr>
        <w:t>01/2024</w:t>
      </w:r>
      <w:r>
        <w:rPr>
          <w:rFonts w:ascii="Arial" w:hAnsi="Arial" w:eastAsia="Arial" w:cs="Arial"/>
          <w:sz w:val="20"/>
          <w:szCs w:val="20"/>
        </w:rPr>
        <w:t>, mediante as cláusulas e condições a seguir enunciadas</w:t>
      </w:r>
      <w:r>
        <w:rPr>
          <w:rFonts w:ascii="Arial" w:hAnsi="Arial" w:cs="Arial"/>
          <w:sz w:val="20"/>
          <w:szCs w:val="20"/>
        </w:rPr>
        <w:t>.</w:t>
      </w:r>
    </w:p>
    <w:p>
      <w:pPr>
        <w:pStyle w:val="39"/>
        <w:numPr>
          <w:ilvl w:val="0"/>
          <w:numId w:val="3"/>
        </w:numPr>
        <w:rPr>
          <w:color w:val="FFFFFF" w:themeColor="background1"/>
          <w14:textFill>
            <w14:solidFill>
              <w14:schemeClr w14:val="bg1"/>
            </w14:solidFill>
          </w14:textFill>
        </w:rPr>
      </w:pPr>
      <w:r>
        <w:t>CLÁUSULA PRIMEIRA – OBJETO (</w:t>
      </w:r>
      <w:r>
        <w:fldChar w:fldCharType="begin"/>
      </w:r>
      <w:r>
        <w:instrText xml:space="preserve"> HYPERLINK "http://www.planalto.gov.br/ccivil_03/_ato2019-2022/2021/lei/L14133.htm" \l "art92" </w:instrText>
      </w:r>
      <w:r>
        <w:fldChar w:fldCharType="separate"/>
      </w:r>
      <w:r>
        <w:rPr>
          <w:rStyle w:val="13"/>
        </w:rPr>
        <w:t>art. 92, I e II</w:t>
      </w:r>
      <w:r>
        <w:rPr>
          <w:rStyle w:val="13"/>
        </w:rPr>
        <w:fldChar w:fldCharType="end"/>
      </w:r>
      <w:r>
        <w:t>)</w:t>
      </w:r>
    </w:p>
    <w:p>
      <w:pPr>
        <w:pStyle w:val="56"/>
        <w:numPr>
          <w:ilvl w:val="1"/>
          <w:numId w:val="4"/>
        </w:numPr>
        <w:ind w:left="0" w:firstLine="0"/>
      </w:pPr>
      <w:r>
        <w:t xml:space="preserve">O objeto do presente instrumento é a </w:t>
      </w:r>
      <w:r>
        <w:rPr>
          <w:b/>
          <w:bCs/>
        </w:rPr>
        <w:t>Contratação de serviços para captura, roteamento, transmissão, processamento, compensação e liquidação financeira das transações realizadas por meio de cartões de crédito e débito, à vista e parcelado, de recebíveis do COREN-M</w:t>
      </w:r>
      <w:r>
        <w:rPr>
          <w:rFonts w:hint="default"/>
          <w:b/>
          <w:bCs/>
          <w:lang w:val="pt-BR"/>
        </w:rPr>
        <w:t>T</w:t>
      </w:r>
      <w:r>
        <w:t>, nas condições estabelecidas no Termo de Referência.</w:t>
      </w:r>
    </w:p>
    <w:p>
      <w:pPr>
        <w:pStyle w:val="56"/>
      </w:pPr>
      <w:r>
        <w:t>Objeto da contratação:</w:t>
      </w:r>
    </w:p>
    <w:p>
      <w:pPr>
        <w:pStyle w:val="56"/>
        <w:numPr>
          <w:ilvl w:val="0"/>
          <w:numId w:val="0"/>
        </w:numPr>
      </w:pPr>
    </w:p>
    <w:tbl>
      <w:tblPr>
        <w:tblStyle w:val="8"/>
        <w:tblW w:w="1008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05"/>
        <w:gridCol w:w="4428"/>
        <w:gridCol w:w="1550"/>
        <w:gridCol w:w="1550"/>
        <w:gridCol w:w="15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both"/>
              <w:rPr>
                <w:rFonts w:ascii="Arial" w:hAnsi="Arial" w:cs="Arial"/>
                <w:b/>
                <w:bCs/>
                <w:color w:val="000000"/>
                <w:sz w:val="20"/>
                <w:szCs w:val="20"/>
              </w:rPr>
            </w:pPr>
            <w:r>
              <w:rPr>
                <w:rFonts w:ascii="Arial" w:hAnsi="Arial" w:cs="Arial"/>
                <w:b/>
                <w:bCs/>
                <w:color w:val="000000" w:themeColor="text1"/>
                <w:sz w:val="20"/>
                <w:szCs w:val="20"/>
                <w14:textFill>
                  <w14:solidFill>
                    <w14:schemeClr w14:val="tx1"/>
                  </w14:solidFill>
                </w14:textFill>
              </w:rPr>
              <w:t>ITEM</w:t>
            </w:r>
          </w:p>
          <w:p>
            <w:pPr>
              <w:widowControl w:val="0"/>
              <w:suppressAutoHyphens/>
              <w:spacing w:before="120" w:after="288" w:afterLines="120" w:line="312" w:lineRule="auto"/>
              <w:ind w:firstLine="709"/>
              <w:jc w:val="both"/>
              <w:rPr>
                <w:rFonts w:ascii="Arial" w:hAnsi="Arial" w:cs="Arial"/>
                <w:b/>
                <w:bCs/>
                <w:color w:val="000000"/>
                <w:sz w:val="20"/>
                <w:szCs w:val="20"/>
              </w:rPr>
            </w:pPr>
          </w:p>
        </w:tc>
        <w:tc>
          <w:tcPr>
            <w:tcW w:w="44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both"/>
              <w:rPr>
                <w:rFonts w:ascii="Arial" w:hAnsi="Arial" w:cs="Arial"/>
                <w:color w:val="000000"/>
                <w:sz w:val="20"/>
                <w:szCs w:val="20"/>
              </w:rPr>
            </w:pPr>
            <w:r>
              <w:rPr>
                <w:rFonts w:ascii="Arial" w:hAnsi="Arial" w:cs="Arial"/>
                <w:b/>
                <w:bCs/>
                <w:color w:val="000000" w:themeColor="text1"/>
                <w:sz w:val="20"/>
                <w:szCs w:val="20"/>
                <w14:textFill>
                  <w14:solidFill>
                    <w14:schemeClr w14:val="tx1"/>
                  </w14:solidFill>
                </w14:textFill>
              </w:rPr>
              <w:t>ESPECIFICAÇÃO</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cs="Arial"/>
                <w:b/>
                <w:bCs/>
                <w:sz w:val="20"/>
                <w:szCs w:val="20"/>
              </w:rPr>
            </w:pPr>
            <w:r>
              <w:rPr>
                <w:rFonts w:ascii="Arial" w:hAnsi="Arial" w:cs="Arial"/>
                <w:b/>
                <w:bCs/>
                <w:sz w:val="20"/>
                <w:szCs w:val="20"/>
              </w:rPr>
              <w:t xml:space="preserve">R$ ESTIMADO PARA ARRECADAÇÃO EM </w:t>
            </w:r>
            <w:r>
              <w:rPr>
                <w:rFonts w:hint="default" w:ascii="Arial" w:hAnsi="Arial" w:cs="Arial"/>
                <w:b/>
                <w:bCs/>
                <w:sz w:val="20"/>
                <w:szCs w:val="20"/>
                <w:lang w:val="pt-BR"/>
              </w:rPr>
              <w:t>60</w:t>
            </w:r>
            <w:r>
              <w:rPr>
                <w:rFonts w:ascii="Arial" w:hAnsi="Arial" w:cs="Arial"/>
                <w:b/>
                <w:bCs/>
                <w:sz w:val="20"/>
                <w:szCs w:val="20"/>
              </w:rPr>
              <w:t xml:space="preserve"> MESES</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pacing w:before="120" w:after="288" w:afterLines="120" w:line="276" w:lineRule="auto"/>
              <w:jc w:val="center"/>
              <w:rPr>
                <w:rFonts w:ascii="Arial" w:hAnsi="Arial" w:eastAsia="Arial" w:cs="Arial"/>
                <w:b/>
                <w:bCs/>
                <w:sz w:val="18"/>
                <w:szCs w:val="18"/>
              </w:rPr>
            </w:pPr>
            <w:r>
              <w:rPr>
                <w:rFonts w:ascii="Arial" w:hAnsi="Arial" w:eastAsia="Arial" w:cs="Arial"/>
                <w:b/>
                <w:bCs/>
                <w:sz w:val="18"/>
                <w:szCs w:val="18"/>
              </w:rPr>
              <w:t>% TAXA POR TRANSAÇÃO</w:t>
            </w:r>
          </w:p>
          <w:p>
            <w:pPr>
              <w:widowControl w:val="0"/>
              <w:spacing w:before="120" w:after="288" w:afterLines="120" w:line="276" w:lineRule="auto"/>
              <w:jc w:val="center"/>
              <w:rPr>
                <w:rFonts w:ascii="Arial" w:hAnsi="Arial" w:eastAsia="Arial" w:cs="Arial"/>
                <w:b/>
                <w:bCs/>
                <w:sz w:val="18"/>
                <w:szCs w:val="18"/>
                <w:lang w:val="pt-BR" w:eastAsia="pt-BR" w:bidi="ar-SA"/>
              </w:rPr>
            </w:pPr>
            <w:r>
              <w:rPr>
                <w:rFonts w:ascii="Arial" w:hAnsi="Arial" w:eastAsia="Arial" w:cs="Arial"/>
                <w:b/>
                <w:bCs/>
                <w:sz w:val="18"/>
                <w:szCs w:val="18"/>
              </w:rPr>
              <w:t>(B)</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pacing w:before="120" w:after="288" w:afterLines="120" w:line="276" w:lineRule="auto"/>
              <w:jc w:val="center"/>
              <w:rPr>
                <w:rFonts w:ascii="Arial" w:hAnsi="Arial" w:eastAsia="Arial" w:cs="Arial"/>
                <w:b/>
                <w:bCs/>
                <w:sz w:val="18"/>
                <w:szCs w:val="18"/>
              </w:rPr>
            </w:pPr>
            <w:r>
              <w:rPr>
                <w:rFonts w:ascii="Arial" w:hAnsi="Arial" w:eastAsia="Arial" w:cs="Arial"/>
                <w:b/>
                <w:bCs/>
                <w:sz w:val="18"/>
                <w:szCs w:val="18"/>
              </w:rPr>
              <w:t>R$ TOTAL ESTIMADO CUSTO TAXA POR TRANSAÇÃO</w:t>
            </w:r>
          </w:p>
          <w:p>
            <w:pPr>
              <w:widowControl w:val="0"/>
              <w:spacing w:before="120" w:after="288" w:afterLines="120" w:line="276" w:lineRule="auto"/>
              <w:jc w:val="center"/>
              <w:rPr>
                <w:rFonts w:ascii="Arial" w:hAnsi="Arial" w:eastAsia="Arial" w:cs="Arial"/>
                <w:b/>
                <w:bCs/>
                <w:sz w:val="18"/>
                <w:szCs w:val="18"/>
              </w:rPr>
            </w:pPr>
            <w:r>
              <w:rPr>
                <w:rFonts w:hint="default" w:ascii="Arial" w:hAnsi="Arial" w:eastAsia="Arial" w:cs="Arial"/>
                <w:b/>
                <w:bCs/>
                <w:sz w:val="18"/>
                <w:szCs w:val="18"/>
                <w:lang w:val="pt-BR"/>
              </w:rPr>
              <w:t xml:space="preserve">60 </w:t>
            </w:r>
            <w:r>
              <w:rPr>
                <w:rFonts w:ascii="Arial" w:hAnsi="Arial" w:eastAsia="Arial" w:cs="Arial"/>
                <w:b/>
                <w:bCs/>
                <w:sz w:val="18"/>
                <w:szCs w:val="18"/>
              </w:rPr>
              <w:t>MESES</w:t>
            </w:r>
          </w:p>
          <w:p>
            <w:pPr>
              <w:widowControl w:val="0"/>
              <w:spacing w:before="120" w:after="288" w:afterLines="120" w:line="276" w:lineRule="auto"/>
              <w:jc w:val="center"/>
              <w:rPr>
                <w:rFonts w:ascii="Arial" w:hAnsi="Arial" w:eastAsia="Arial" w:cs="Arial"/>
                <w:b/>
                <w:bCs/>
                <w:sz w:val="18"/>
                <w:szCs w:val="18"/>
                <w:lang w:val="pt-BR" w:eastAsia="pt-BR" w:bidi="ar-SA"/>
              </w:rPr>
            </w:pPr>
            <w:r>
              <w:rPr>
                <w:rFonts w:ascii="Arial" w:hAnsi="Arial" w:eastAsia="Arial" w:cs="Arial"/>
                <w:b/>
                <w:bCs/>
                <w:sz w:val="18"/>
                <w:szCs w:val="18"/>
              </w:rPr>
              <w:t>(A x 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b/>
                <w:bCs/>
                <w:color w:val="000000"/>
                <w:sz w:val="20"/>
                <w:szCs w:val="20"/>
              </w:rPr>
            </w:pPr>
            <w:r>
              <w:rPr>
                <w:rFonts w:ascii="Arial" w:hAnsi="Arial" w:cs="Arial"/>
                <w:b/>
                <w:bCs/>
                <w:color w:val="000000" w:themeColor="text1"/>
                <w:sz w:val="20"/>
                <w:szCs w:val="20"/>
                <w14:textFill>
                  <w14:solidFill>
                    <w14:schemeClr w14:val="tx1"/>
                  </w14:solidFill>
                </w14:textFill>
              </w:rPr>
              <w:t>1</w:t>
            </w:r>
          </w:p>
        </w:tc>
        <w:tc>
          <w:tcPr>
            <w:tcW w:w="44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both"/>
              <w:rPr>
                <w:rFonts w:ascii="Arial" w:hAnsi="Arial" w:cs="Arial"/>
                <w:color w:val="000000"/>
                <w:sz w:val="20"/>
                <w:szCs w:val="20"/>
              </w:rPr>
            </w:pPr>
            <w:r>
              <w:rPr>
                <w:rFonts w:ascii="Arial" w:hAnsi="Arial" w:cs="Arial"/>
                <w:color w:val="000000"/>
                <w:sz w:val="20"/>
                <w:szCs w:val="20"/>
              </w:rPr>
              <w:t xml:space="preserve">CAPTURA, ROTEAMENTO, TRANSMISSÃO, PROCESSAMENTO, COMPENSAÇÃO E LIQUIDAÇÃO FINANCEIRA DAS TRANSAÇÕES REALIZADAS POR MEIO DE CARTÕES DE </w:t>
            </w:r>
            <w:r>
              <w:rPr>
                <w:rFonts w:ascii="Arial" w:hAnsi="Arial" w:cs="Arial"/>
                <w:b/>
                <w:bCs/>
                <w:color w:val="000000"/>
                <w:sz w:val="20"/>
                <w:szCs w:val="20"/>
                <w:u w:val="single"/>
              </w:rPr>
              <w:t>DÉBITO</w:t>
            </w:r>
            <w:r>
              <w:rPr>
                <w:rFonts w:ascii="Arial" w:hAnsi="Arial" w:cs="Arial"/>
                <w:color w:val="000000"/>
                <w:sz w:val="20"/>
                <w:szCs w:val="20"/>
              </w:rPr>
              <w:t xml:space="preserve">, POR UM PERÍODO DE </w:t>
            </w:r>
            <w:r>
              <w:rPr>
                <w:rFonts w:hint="default" w:ascii="Arial" w:hAnsi="Arial" w:cs="Arial"/>
                <w:color w:val="000000"/>
                <w:sz w:val="20"/>
                <w:szCs w:val="20"/>
                <w:lang w:val="pt-BR"/>
              </w:rPr>
              <w:t xml:space="preserve">60 </w:t>
            </w:r>
            <w:r>
              <w:rPr>
                <w:rFonts w:ascii="Arial" w:hAnsi="Arial" w:cs="Arial"/>
                <w:color w:val="000000"/>
                <w:sz w:val="20"/>
                <w:szCs w:val="20"/>
              </w:rPr>
              <w:t xml:space="preserve"> (</w:t>
            </w:r>
            <w:r>
              <w:rPr>
                <w:rFonts w:hint="default" w:ascii="Arial" w:hAnsi="Arial" w:cs="Arial"/>
                <w:color w:val="000000"/>
                <w:sz w:val="20"/>
                <w:szCs w:val="20"/>
                <w:lang w:val="pt-BR"/>
              </w:rPr>
              <w:t>SESSENTA</w:t>
            </w:r>
            <w:r>
              <w:rPr>
                <w:rFonts w:ascii="Arial" w:hAnsi="Arial" w:cs="Arial"/>
                <w:color w:val="000000"/>
                <w:sz w:val="20"/>
                <w:szCs w:val="20"/>
              </w:rPr>
              <w:t xml:space="preserve">) MESES. </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color w:val="000000"/>
                <w:sz w:val="20"/>
                <w:szCs w:val="20"/>
              </w:rPr>
            </w:pPr>
            <w:r>
              <w:rPr>
                <w:rFonts w:hint="default" w:ascii="Arial" w:hAnsi="Arial" w:cs="Arial"/>
                <w:color w:val="000000"/>
                <w:sz w:val="20"/>
                <w:szCs w:val="20"/>
                <w:lang w:val="pt-BR"/>
              </w:rPr>
              <w:t>15</w:t>
            </w:r>
            <w:r>
              <w:rPr>
                <w:rFonts w:ascii="Arial" w:hAnsi="Arial" w:cs="Arial"/>
                <w:color w:val="000000"/>
                <w:sz w:val="20"/>
                <w:szCs w:val="20"/>
              </w:rPr>
              <w:t>.000.000,00</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color w:val="000000"/>
                <w:sz w:val="20"/>
                <w:szCs w:val="20"/>
                <w:lang w:val="pt-BR"/>
              </w:rPr>
            </w:pP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color w:val="000000"/>
                <w:sz w:val="20"/>
                <w:szCs w:val="20"/>
                <w:lang w:val="pt-B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b/>
                <w:bCs/>
                <w:color w:val="000000"/>
                <w:sz w:val="20"/>
                <w:szCs w:val="20"/>
              </w:rPr>
            </w:pPr>
            <w:r>
              <w:rPr>
                <w:rFonts w:ascii="Arial" w:hAnsi="Arial" w:cs="Arial"/>
                <w:b/>
                <w:bCs/>
                <w:color w:val="000000" w:themeColor="text1"/>
                <w:sz w:val="20"/>
                <w:szCs w:val="20"/>
                <w14:textFill>
                  <w14:solidFill>
                    <w14:schemeClr w14:val="tx1"/>
                  </w14:solidFill>
                </w14:textFill>
              </w:rPr>
              <w:t>2</w:t>
            </w:r>
          </w:p>
        </w:tc>
        <w:tc>
          <w:tcPr>
            <w:tcW w:w="44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both"/>
              <w:rPr>
                <w:rFonts w:ascii="Arial" w:hAnsi="Arial" w:cs="Arial"/>
                <w:color w:val="000000"/>
                <w:sz w:val="20"/>
                <w:szCs w:val="20"/>
              </w:rPr>
            </w:pPr>
            <w:r>
              <w:rPr>
                <w:rFonts w:ascii="Arial" w:hAnsi="Arial" w:cs="Arial"/>
                <w:color w:val="000000"/>
                <w:sz w:val="20"/>
                <w:szCs w:val="20"/>
              </w:rPr>
              <w:t xml:space="preserve">CAPTURA, ROTEAMENTO, TRANSMISSÃO, PROCESSAMENTO, COMPENSAÇÃO E LIQUIDAÇÃO FINANCEIRA DAS TRANSAÇÕES REALIZADAS POR MEIO DE CARTÕES DE </w:t>
            </w:r>
            <w:r>
              <w:rPr>
                <w:rFonts w:ascii="Arial" w:hAnsi="Arial" w:cs="Arial"/>
                <w:b/>
                <w:bCs/>
                <w:color w:val="000000"/>
                <w:sz w:val="20"/>
                <w:szCs w:val="20"/>
              </w:rPr>
              <w:t>CRÉDITO A VISTA</w:t>
            </w:r>
            <w:r>
              <w:rPr>
                <w:rFonts w:ascii="Arial" w:hAnsi="Arial" w:cs="Arial"/>
                <w:color w:val="000000"/>
                <w:sz w:val="20"/>
                <w:szCs w:val="20"/>
              </w:rPr>
              <w:t>, POR UM PERÍODO DE</w:t>
            </w:r>
            <w:r>
              <w:rPr>
                <w:rFonts w:hint="default" w:ascii="Arial" w:hAnsi="Arial" w:cs="Arial"/>
                <w:color w:val="000000"/>
                <w:sz w:val="20"/>
                <w:szCs w:val="20"/>
                <w:lang w:val="pt-BR"/>
              </w:rPr>
              <w:t xml:space="preserve"> 60 </w:t>
            </w:r>
            <w:r>
              <w:rPr>
                <w:rFonts w:ascii="Arial" w:hAnsi="Arial" w:cs="Arial"/>
                <w:color w:val="000000"/>
                <w:sz w:val="20"/>
                <w:szCs w:val="20"/>
              </w:rPr>
              <w:t>(</w:t>
            </w:r>
            <w:r>
              <w:rPr>
                <w:rFonts w:hint="default" w:ascii="Arial" w:hAnsi="Arial" w:cs="Arial"/>
                <w:color w:val="000000"/>
                <w:sz w:val="20"/>
                <w:szCs w:val="20"/>
                <w:lang w:val="pt-BR"/>
              </w:rPr>
              <w:t>SESSENTA</w:t>
            </w:r>
            <w:r>
              <w:rPr>
                <w:rFonts w:ascii="Arial" w:hAnsi="Arial" w:cs="Arial"/>
                <w:color w:val="000000"/>
                <w:sz w:val="20"/>
                <w:szCs w:val="20"/>
              </w:rPr>
              <w:t xml:space="preserve">) MESES. </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color w:val="000000"/>
                <w:sz w:val="20"/>
                <w:szCs w:val="20"/>
              </w:rPr>
            </w:pPr>
            <w:r>
              <w:rPr>
                <w:rFonts w:hint="default" w:ascii="Arial" w:hAnsi="Arial" w:cs="Arial"/>
                <w:color w:val="000000"/>
                <w:sz w:val="20"/>
                <w:szCs w:val="20"/>
                <w:lang w:val="pt-BR"/>
              </w:rPr>
              <w:t>5</w:t>
            </w:r>
            <w:r>
              <w:rPr>
                <w:rFonts w:ascii="Arial" w:hAnsi="Arial" w:cs="Arial"/>
                <w:color w:val="000000"/>
                <w:sz w:val="20"/>
                <w:szCs w:val="20"/>
              </w:rPr>
              <w:t>.000.000,00</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color w:val="000000"/>
                <w:sz w:val="20"/>
                <w:szCs w:val="20"/>
                <w:lang w:val="pt-BR"/>
              </w:rPr>
            </w:pP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color w:val="000000"/>
                <w:sz w:val="20"/>
                <w:szCs w:val="20"/>
                <w:lang w:val="pt-B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b/>
                <w:bCs/>
                <w:color w:val="000000"/>
                <w:sz w:val="20"/>
                <w:szCs w:val="20"/>
              </w:rPr>
            </w:pPr>
            <w:r>
              <w:rPr>
                <w:rFonts w:ascii="Arial" w:hAnsi="Arial" w:cs="Arial"/>
                <w:b/>
                <w:bCs/>
                <w:color w:val="000000" w:themeColor="text1"/>
                <w:sz w:val="20"/>
                <w:szCs w:val="20"/>
                <w14:textFill>
                  <w14:solidFill>
                    <w14:schemeClr w14:val="tx1"/>
                  </w14:solidFill>
                </w14:textFill>
              </w:rPr>
              <w:t>3</w:t>
            </w:r>
          </w:p>
        </w:tc>
        <w:tc>
          <w:tcPr>
            <w:tcW w:w="44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both"/>
              <w:rPr>
                <w:rFonts w:ascii="Arial" w:hAnsi="Arial" w:cs="Arial"/>
                <w:color w:val="000000"/>
                <w:sz w:val="20"/>
                <w:szCs w:val="20"/>
              </w:rPr>
            </w:pPr>
            <w:r>
              <w:rPr>
                <w:rFonts w:ascii="Arial" w:hAnsi="Arial" w:cs="Arial"/>
                <w:color w:val="000000"/>
                <w:sz w:val="20"/>
                <w:szCs w:val="20"/>
              </w:rPr>
              <w:t xml:space="preserve">CAPTURA, ROTEAMENTO, TRANSMISSÃO, PROCESSAMENTO, COMPENSAÇÃO E LIQUIDAÇÃO FINANCEIRA DAS TRANSAÇÕES REALIZADAS POR MEIO DE CARTÕES DE </w:t>
            </w:r>
            <w:r>
              <w:rPr>
                <w:rFonts w:ascii="Arial" w:hAnsi="Arial" w:cs="Arial"/>
                <w:b/>
                <w:bCs/>
                <w:color w:val="000000"/>
                <w:sz w:val="20"/>
                <w:szCs w:val="20"/>
              </w:rPr>
              <w:t>CRÉDITO PARCELADO DE 2 A 6 VEZES</w:t>
            </w:r>
            <w:r>
              <w:rPr>
                <w:rFonts w:ascii="Arial" w:hAnsi="Arial" w:cs="Arial"/>
                <w:color w:val="000000"/>
                <w:sz w:val="20"/>
                <w:szCs w:val="20"/>
              </w:rPr>
              <w:t xml:space="preserve">, POR UM PERÍODO DE </w:t>
            </w:r>
            <w:r>
              <w:rPr>
                <w:rFonts w:hint="default" w:ascii="Arial" w:hAnsi="Arial" w:cs="Arial"/>
                <w:color w:val="000000"/>
                <w:sz w:val="20"/>
                <w:szCs w:val="20"/>
                <w:lang w:val="pt-BR"/>
              </w:rPr>
              <w:t xml:space="preserve">60 </w:t>
            </w:r>
            <w:r>
              <w:rPr>
                <w:rFonts w:ascii="Arial" w:hAnsi="Arial" w:cs="Arial"/>
                <w:color w:val="000000"/>
                <w:sz w:val="20"/>
                <w:szCs w:val="20"/>
              </w:rPr>
              <w:t>(</w:t>
            </w:r>
            <w:r>
              <w:rPr>
                <w:rFonts w:hint="default" w:ascii="Arial" w:hAnsi="Arial" w:cs="Arial"/>
                <w:color w:val="000000"/>
                <w:sz w:val="20"/>
                <w:szCs w:val="20"/>
                <w:lang w:val="pt-BR"/>
              </w:rPr>
              <w:t>SESSENTA</w:t>
            </w:r>
            <w:r>
              <w:rPr>
                <w:rFonts w:ascii="Arial" w:hAnsi="Arial" w:cs="Arial"/>
                <w:color w:val="000000"/>
                <w:sz w:val="20"/>
                <w:szCs w:val="20"/>
              </w:rPr>
              <w:t>) MESES.</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color w:val="000000"/>
                <w:sz w:val="20"/>
                <w:szCs w:val="20"/>
              </w:rPr>
            </w:pPr>
            <w:r>
              <w:rPr>
                <w:rFonts w:hint="default" w:ascii="Arial" w:hAnsi="Arial" w:cs="Arial"/>
                <w:color w:val="000000"/>
                <w:sz w:val="20"/>
                <w:szCs w:val="20"/>
                <w:lang w:val="pt-BR"/>
              </w:rPr>
              <w:t>7</w:t>
            </w:r>
            <w:r>
              <w:rPr>
                <w:rFonts w:ascii="Arial" w:hAnsi="Arial" w:cs="Arial"/>
                <w:color w:val="000000"/>
                <w:sz w:val="20"/>
                <w:szCs w:val="20"/>
              </w:rPr>
              <w:t>.</w:t>
            </w:r>
            <w:r>
              <w:rPr>
                <w:rFonts w:hint="default" w:ascii="Arial" w:hAnsi="Arial" w:cs="Arial"/>
                <w:color w:val="000000"/>
                <w:sz w:val="20"/>
                <w:szCs w:val="20"/>
                <w:lang w:val="pt-BR"/>
              </w:rPr>
              <w:t>5</w:t>
            </w:r>
            <w:r>
              <w:rPr>
                <w:rFonts w:ascii="Arial" w:hAnsi="Arial" w:cs="Arial"/>
                <w:color w:val="000000"/>
                <w:sz w:val="20"/>
                <w:szCs w:val="20"/>
              </w:rPr>
              <w:t>00.000,00</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color w:val="000000"/>
                <w:sz w:val="20"/>
                <w:szCs w:val="20"/>
                <w:lang w:val="pt-BR"/>
              </w:rPr>
            </w:pP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color w:val="000000"/>
                <w:sz w:val="20"/>
                <w:szCs w:val="20"/>
                <w:lang w:val="pt-B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b/>
                <w:bCs/>
                <w:color w:val="000000"/>
                <w:sz w:val="20"/>
                <w:szCs w:val="20"/>
              </w:rPr>
            </w:pPr>
            <w:r>
              <w:rPr>
                <w:rFonts w:ascii="Arial" w:hAnsi="Arial" w:cs="Arial"/>
                <w:b/>
                <w:bCs/>
                <w:color w:val="000000" w:themeColor="text1"/>
                <w:sz w:val="20"/>
                <w:szCs w:val="20"/>
                <w14:textFill>
                  <w14:solidFill>
                    <w14:schemeClr w14:val="tx1"/>
                  </w14:solidFill>
                </w14:textFill>
              </w:rPr>
              <w:t>4</w:t>
            </w:r>
          </w:p>
        </w:tc>
        <w:tc>
          <w:tcPr>
            <w:tcW w:w="44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288" w:afterLines="120" w:line="312" w:lineRule="auto"/>
              <w:jc w:val="both"/>
              <w:rPr>
                <w:rFonts w:ascii="Arial" w:hAnsi="Arial" w:cs="Arial"/>
                <w:sz w:val="20"/>
                <w:szCs w:val="20"/>
              </w:rPr>
            </w:pPr>
            <w:r>
              <w:rPr>
                <w:rFonts w:ascii="Arial" w:hAnsi="Arial" w:cs="Arial"/>
                <w:sz w:val="20"/>
                <w:szCs w:val="20"/>
              </w:rPr>
              <w:t xml:space="preserve">CAPTURA, ROTEAMENTO, TRANSMISSÃO, PROCESSAMENTO, COMPENSAÇÃO E LIQUIDAÇÃO FINANCEIRA DAS TRANSAÇÕES REALIZADAS POR MEIO DE CARTÕES DE </w:t>
            </w:r>
            <w:r>
              <w:rPr>
                <w:rFonts w:ascii="Arial" w:hAnsi="Arial" w:cs="Arial"/>
                <w:b/>
                <w:bCs/>
                <w:sz w:val="20"/>
                <w:szCs w:val="20"/>
              </w:rPr>
              <w:t>CRÉDITO PARCELADO DE 7 A 12 VEZES</w:t>
            </w:r>
            <w:r>
              <w:rPr>
                <w:rFonts w:ascii="Arial" w:hAnsi="Arial" w:cs="Arial"/>
                <w:sz w:val="20"/>
                <w:szCs w:val="20"/>
              </w:rPr>
              <w:t xml:space="preserve">, POR UM PERÍODO DE </w:t>
            </w:r>
            <w:r>
              <w:rPr>
                <w:rFonts w:hint="default" w:ascii="Arial" w:hAnsi="Arial" w:cs="Arial"/>
                <w:color w:val="000000"/>
                <w:sz w:val="20"/>
                <w:szCs w:val="20"/>
                <w:lang w:val="pt-BR"/>
              </w:rPr>
              <w:t xml:space="preserve">60 </w:t>
            </w:r>
            <w:r>
              <w:rPr>
                <w:rFonts w:ascii="Arial" w:hAnsi="Arial" w:cs="Arial"/>
                <w:color w:val="000000"/>
                <w:sz w:val="20"/>
                <w:szCs w:val="20"/>
              </w:rPr>
              <w:t>(</w:t>
            </w:r>
            <w:r>
              <w:rPr>
                <w:rFonts w:hint="default" w:ascii="Arial" w:hAnsi="Arial" w:cs="Arial"/>
                <w:color w:val="000000"/>
                <w:sz w:val="20"/>
                <w:szCs w:val="20"/>
                <w:lang w:val="pt-BR"/>
              </w:rPr>
              <w:t>SESSENTA</w:t>
            </w:r>
            <w:r>
              <w:rPr>
                <w:rFonts w:ascii="Arial" w:hAnsi="Arial" w:cs="Arial"/>
                <w:color w:val="000000"/>
                <w:sz w:val="20"/>
                <w:szCs w:val="20"/>
              </w:rPr>
              <w:t>)</w:t>
            </w:r>
            <w:r>
              <w:rPr>
                <w:rFonts w:ascii="Arial" w:hAnsi="Arial" w:cs="Arial"/>
                <w:sz w:val="20"/>
                <w:szCs w:val="20"/>
              </w:rPr>
              <w:t xml:space="preserve"> MESES. </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ascii="Arial" w:hAnsi="Arial" w:cs="Arial"/>
                <w:color w:val="000000"/>
                <w:sz w:val="20"/>
                <w:szCs w:val="20"/>
              </w:rPr>
            </w:pPr>
            <w:r>
              <w:rPr>
                <w:rFonts w:hint="default" w:ascii="Arial" w:hAnsi="Arial" w:cs="Arial"/>
                <w:sz w:val="20"/>
                <w:szCs w:val="20"/>
                <w:lang w:val="pt-BR"/>
              </w:rPr>
              <w:t>5</w:t>
            </w:r>
            <w:r>
              <w:rPr>
                <w:rFonts w:ascii="Arial" w:hAnsi="Arial" w:cs="Arial"/>
                <w:sz w:val="20"/>
                <w:szCs w:val="20"/>
              </w:rPr>
              <w:t>.000.000,00</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sz w:val="20"/>
                <w:szCs w:val="20"/>
                <w:lang w:val="pt-BR"/>
              </w:rPr>
            </w:pP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sz w:val="20"/>
                <w:szCs w:val="20"/>
                <w:lang w:val="pt-B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b/>
                <w:bCs/>
                <w:color w:val="000000" w:themeColor="text1"/>
                <w:sz w:val="20"/>
                <w:szCs w:val="20"/>
                <w:lang w:val="pt-BR"/>
                <w14:textFill>
                  <w14:solidFill>
                    <w14:schemeClr w14:val="tx1"/>
                  </w14:solidFill>
                </w14:textFill>
              </w:rPr>
            </w:pPr>
            <w:r>
              <w:rPr>
                <w:rFonts w:hint="default" w:ascii="Arial" w:hAnsi="Arial" w:cs="Arial"/>
                <w:b/>
                <w:bCs/>
                <w:color w:val="000000" w:themeColor="text1"/>
                <w:sz w:val="20"/>
                <w:szCs w:val="20"/>
                <w:lang w:val="pt-BR"/>
                <w14:textFill>
                  <w14:solidFill>
                    <w14:schemeClr w14:val="tx1"/>
                  </w14:solidFill>
                </w14:textFill>
              </w:rPr>
              <w:t>5</w:t>
            </w:r>
          </w:p>
        </w:tc>
        <w:tc>
          <w:tcPr>
            <w:tcW w:w="44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288" w:afterLines="120" w:line="312" w:lineRule="auto"/>
              <w:jc w:val="both"/>
              <w:rPr>
                <w:rFonts w:hint="default" w:ascii="Arial" w:hAnsi="Arial" w:cs="Arial"/>
                <w:sz w:val="20"/>
                <w:szCs w:val="20"/>
                <w:lang w:val="pt-BR"/>
              </w:rPr>
            </w:pPr>
            <w:r>
              <w:rPr>
                <w:rFonts w:hint="default" w:ascii="Arial" w:hAnsi="Arial" w:cs="Arial"/>
                <w:sz w:val="20"/>
                <w:szCs w:val="20"/>
                <w:lang w:val="pt-BR"/>
              </w:rPr>
              <w:t>Equipamentos em comodato ( 9 unidades), terminal móvel (maquinetas e insumos), incluso serviço de instalação, TEF/ PIN PAD POS e conciliação automática, além da disponibilidade da plataforma digital de pagamento online (e-commerce), com taxas de administração idênticas as praticadas nas máquinas de cartâo</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sz w:val="20"/>
                <w:szCs w:val="20"/>
                <w:lang w:val="pt-BR"/>
              </w:rPr>
            </w:pPr>
            <w:r>
              <w:rPr>
                <w:rFonts w:hint="default" w:ascii="Arial" w:hAnsi="Arial" w:cs="Arial"/>
                <w:sz w:val="20"/>
                <w:szCs w:val="20"/>
                <w:lang w:val="pt-BR"/>
              </w:rPr>
              <w:t>SEM CUSTO</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sz w:val="20"/>
                <w:szCs w:val="20"/>
                <w:lang w:val="pt-BR"/>
              </w:rPr>
            </w:pP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288" w:afterLines="120" w:line="312" w:lineRule="auto"/>
              <w:jc w:val="center"/>
              <w:rPr>
                <w:rFonts w:hint="default" w:ascii="Arial" w:hAnsi="Arial" w:cs="Arial"/>
                <w:sz w:val="20"/>
                <w:szCs w:val="20"/>
                <w:lang w:val="pt-BR"/>
              </w:rPr>
            </w:pPr>
          </w:p>
        </w:tc>
      </w:tr>
    </w:tbl>
    <w:p>
      <w:pPr>
        <w:pStyle w:val="56"/>
        <w:numPr>
          <w:ilvl w:val="0"/>
          <w:numId w:val="0"/>
        </w:numPr>
      </w:pPr>
    </w:p>
    <w:p>
      <w:pPr>
        <w:pStyle w:val="56"/>
      </w:pPr>
      <w:r>
        <w:t>Vinculam esta contratação, independentemente de transcrição:</w:t>
      </w:r>
    </w:p>
    <w:p>
      <w:pPr>
        <w:pStyle w:val="58"/>
      </w:pPr>
      <w:r>
        <w:t>O Termo de Referência;</w:t>
      </w:r>
    </w:p>
    <w:p>
      <w:pPr>
        <w:pStyle w:val="58"/>
      </w:pPr>
      <w:r>
        <w:t>O Edital da Licitação;</w:t>
      </w:r>
    </w:p>
    <w:p>
      <w:pPr>
        <w:pStyle w:val="58"/>
      </w:pPr>
      <w:r>
        <w:t>A Proposta do contratado;</w:t>
      </w:r>
    </w:p>
    <w:p>
      <w:pPr>
        <w:pStyle w:val="58"/>
      </w:pPr>
      <w:r>
        <w:t>Eventuais anexos dos documentos supracitados.</w:t>
      </w:r>
    </w:p>
    <w:p>
      <w:pPr>
        <w:pStyle w:val="39"/>
        <w:rPr>
          <w:color w:val="FFFFFF" w:themeColor="background1"/>
          <w14:textFill>
            <w14:solidFill>
              <w14:schemeClr w14:val="bg1"/>
            </w14:solidFill>
          </w14:textFill>
        </w:rPr>
      </w:pPr>
      <w:r>
        <w:t>CLÁUSULA SEGUNDA – VIGÊNCIA E PRORROGAÇÃO</w:t>
      </w:r>
    </w:p>
    <w:p>
      <w:pPr>
        <w:pStyle w:val="103"/>
        <w:rPr>
          <w:i w:val="0"/>
          <w:iCs w:val="0"/>
          <w:color w:val="auto"/>
        </w:rPr>
      </w:pPr>
      <w:r>
        <w:rPr>
          <w:i w:val="0"/>
          <w:iCs w:val="0"/>
          <w:color w:val="auto"/>
        </w:rPr>
        <w:t xml:space="preserve">O prazo de vigência da contratação </w:t>
      </w:r>
      <w:r>
        <w:rPr>
          <w:rFonts w:hint="default"/>
          <w:i w:val="0"/>
          <w:iCs w:val="0"/>
          <w:color w:val="auto"/>
          <w:lang w:val="pt-BR"/>
        </w:rPr>
        <w:t>a partir do dia</w:t>
      </w:r>
      <w:r>
        <w:rPr>
          <w:rFonts w:hint="default"/>
          <w:b/>
          <w:bCs/>
          <w:i w:val="0"/>
          <w:iCs w:val="0"/>
          <w:color w:val="auto"/>
          <w:lang w:val="pt-BR"/>
        </w:rPr>
        <w:t xml:space="preserve"> 29/03/2024 a 28/03/2029 </w:t>
      </w:r>
      <w:r>
        <w:rPr>
          <w:rFonts w:hint="default"/>
          <w:i w:val="0"/>
          <w:iCs w:val="0"/>
          <w:color w:val="auto"/>
          <w:lang w:val="pt-BR"/>
        </w:rPr>
        <w:t>-  5 (cinco)</w:t>
      </w:r>
      <w:r>
        <w:rPr>
          <w:i w:val="0"/>
          <w:iCs w:val="0"/>
          <w:color w:val="auto"/>
        </w:rPr>
        <w:t>anos</w:t>
      </w:r>
      <w:r>
        <w:rPr>
          <w:rFonts w:hint="default"/>
          <w:i w:val="0"/>
          <w:iCs w:val="0"/>
          <w:color w:val="auto"/>
          <w:lang w:val="pt-BR"/>
        </w:rPr>
        <w:t>,</w:t>
      </w:r>
      <w:r>
        <w:rPr>
          <w:i w:val="0"/>
          <w:iCs w:val="0"/>
          <w:color w:val="auto"/>
        </w:rPr>
        <w:t xml:space="preserve">  prorrogável por até 10 anos, na forma dos </w:t>
      </w:r>
      <w:r>
        <w:fldChar w:fldCharType="begin"/>
      </w:r>
      <w:r>
        <w:instrText xml:space="preserve"> HYPERLINK "http://www.planalto.gov.br/ccivil_03/_ato2019-2022/2021/lei/L14133.htm" \l "art106" </w:instrText>
      </w:r>
      <w:r>
        <w:fldChar w:fldCharType="separate"/>
      </w:r>
      <w:r>
        <w:rPr>
          <w:rStyle w:val="13"/>
          <w:i w:val="0"/>
          <w:iCs w:val="0"/>
          <w:color w:val="auto"/>
        </w:rPr>
        <w:t>artigos 106 e 107 da Lei n° 14.133, de 2021.</w:t>
      </w:r>
      <w:r>
        <w:rPr>
          <w:rStyle w:val="13"/>
          <w:i w:val="0"/>
          <w:iCs w:val="0"/>
          <w:color w:val="auto"/>
        </w:rPr>
        <w:fldChar w:fldCharType="end"/>
      </w:r>
    </w:p>
    <w:p>
      <w:pPr>
        <w:pStyle w:val="103"/>
        <w:rPr>
          <w:i w:val="0"/>
          <w:iCs w:val="0"/>
          <w:color w:val="auto"/>
        </w:rPr>
      </w:pPr>
      <w:r>
        <w:rPr>
          <w:i w:val="0"/>
          <w:iCs w:val="0"/>
          <w:color w:val="auto"/>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pPr>
        <w:pStyle w:val="56"/>
        <w:numPr>
          <w:ilvl w:val="1"/>
          <w:numId w:val="5"/>
        </w:numPr>
        <w:ind w:left="284" w:firstLine="0"/>
        <w:rPr>
          <w:color w:val="auto"/>
        </w:rPr>
      </w:pPr>
      <w:r>
        <w:rPr>
          <w:color w:val="auto"/>
        </w:rPr>
        <w:t>Estar formalmente demonstrado no processo que a forma de prestação dos serviços tem natureza continuada;</w:t>
      </w:r>
    </w:p>
    <w:p>
      <w:pPr>
        <w:pStyle w:val="56"/>
        <w:numPr>
          <w:ilvl w:val="1"/>
          <w:numId w:val="5"/>
        </w:numPr>
        <w:ind w:left="284" w:firstLine="0"/>
        <w:rPr>
          <w:color w:val="auto"/>
        </w:rPr>
      </w:pPr>
      <w:r>
        <w:rPr>
          <w:color w:val="auto"/>
        </w:rPr>
        <w:t xml:space="preserve">Seja juntado relatório que discorra sobre a execução do contrato, com informações de que os serviços tenham sido prestados regularmente;  </w:t>
      </w:r>
    </w:p>
    <w:p>
      <w:pPr>
        <w:pStyle w:val="56"/>
        <w:numPr>
          <w:ilvl w:val="1"/>
          <w:numId w:val="5"/>
        </w:numPr>
        <w:ind w:left="284" w:firstLine="0"/>
        <w:rPr>
          <w:color w:val="auto"/>
        </w:rPr>
      </w:pPr>
      <w:r>
        <w:rPr>
          <w:color w:val="auto"/>
        </w:rPr>
        <w:t xml:space="preserve">Seja juntada justificativa e motivo, por escrito, de que a Administração mantém interesse na realização do serviço;  </w:t>
      </w:r>
    </w:p>
    <w:p>
      <w:pPr>
        <w:pStyle w:val="56"/>
        <w:numPr>
          <w:ilvl w:val="1"/>
          <w:numId w:val="5"/>
        </w:numPr>
        <w:ind w:left="284" w:firstLine="0"/>
        <w:rPr>
          <w:color w:val="auto"/>
        </w:rPr>
      </w:pPr>
      <w:r>
        <w:rPr>
          <w:color w:val="auto"/>
        </w:rPr>
        <w:t xml:space="preserve">Haja manifestação expressa do contratado informando o interesse na prorrogação; </w:t>
      </w:r>
    </w:p>
    <w:p>
      <w:pPr>
        <w:pStyle w:val="56"/>
        <w:numPr>
          <w:ilvl w:val="1"/>
          <w:numId w:val="5"/>
        </w:numPr>
        <w:ind w:left="284" w:firstLine="0"/>
        <w:rPr>
          <w:color w:val="auto"/>
        </w:rPr>
      </w:pPr>
      <w:r>
        <w:rPr>
          <w:color w:val="auto"/>
        </w:rPr>
        <w:t>Seja comprovado que o contratado mantém as condições iniciais de habilitação.</w:t>
      </w:r>
    </w:p>
    <w:p>
      <w:pPr>
        <w:pStyle w:val="103"/>
        <w:rPr>
          <w:i w:val="0"/>
          <w:iCs w:val="0"/>
          <w:color w:val="auto"/>
        </w:rPr>
      </w:pPr>
      <w:r>
        <w:rPr>
          <w:i w:val="0"/>
          <w:iCs w:val="0"/>
          <w:color w:val="auto"/>
        </w:rPr>
        <w:t>O contratado não tem direito subjetivo à prorrogação contratual.</w:t>
      </w:r>
    </w:p>
    <w:p>
      <w:pPr>
        <w:pStyle w:val="103"/>
        <w:rPr>
          <w:i w:val="0"/>
          <w:iCs w:val="0"/>
          <w:color w:val="auto"/>
        </w:rPr>
      </w:pPr>
      <w:r>
        <w:rPr>
          <w:i w:val="0"/>
          <w:iCs w:val="0"/>
          <w:color w:val="auto"/>
        </w:rPr>
        <w:t xml:space="preserve">A prorrogação de contrato deverá ser promovida mediante celebração de termo aditivo. </w:t>
      </w:r>
    </w:p>
    <w:p>
      <w:pPr>
        <w:pStyle w:val="103"/>
        <w:rPr>
          <w:i w:val="0"/>
          <w:iCs w:val="0"/>
          <w:color w:val="auto"/>
        </w:rPr>
      </w:pPr>
      <w:r>
        <w:rPr>
          <w:i w:val="0"/>
          <w:iCs w:val="0"/>
          <w:color w:val="auto"/>
        </w:rPr>
        <w:t>Nas eventuais prorrogações contratuais, os custos não renováveis já pagos ou amortizados ao longo do primeiro período de vigência da contratação deverão ser reduzidos ou eliminados como condição para a renovação.</w:t>
      </w:r>
    </w:p>
    <w:p>
      <w:pPr>
        <w:pStyle w:val="103"/>
        <w:rPr>
          <w:i w:val="0"/>
          <w:iCs w:val="0"/>
          <w:color w:val="auto"/>
        </w:rPr>
      </w:pPr>
      <w:r>
        <w:rPr>
          <w:i w:val="0"/>
          <w:iCs w:val="0"/>
          <w:color w:val="auto"/>
        </w:rPr>
        <w:t>O contrato não poderá ser prorrogado quando o contratado tiver sido penalizado nas sanções de declaração de inidoneidade ou impedimento de licitar e contratar com poder público, observadas as abrangências de aplicação.</w:t>
      </w:r>
    </w:p>
    <w:p>
      <w:pPr>
        <w:pStyle w:val="39"/>
        <w:rPr>
          <w:color w:val="FFFFFF" w:themeColor="background1"/>
          <w14:textFill>
            <w14:solidFill>
              <w14:schemeClr w14:val="bg1"/>
            </w14:solidFill>
          </w14:textFill>
        </w:rPr>
      </w:pPr>
      <w:bookmarkStart w:id="0" w:name="_Hlk114497577"/>
      <w:bookmarkEnd w:id="0"/>
      <w:bookmarkStart w:id="1" w:name="_Hlk114497502"/>
      <w:bookmarkEnd w:id="1"/>
      <w: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3"/>
        </w:rPr>
        <w:t>art. 92, IV, VII e XVIII)</w:t>
      </w:r>
      <w:r>
        <w:rPr>
          <w:rStyle w:val="13"/>
        </w:rPr>
        <w:fldChar w:fldCharType="end"/>
      </w:r>
    </w:p>
    <w:p>
      <w:pPr>
        <w:pStyle w:val="56"/>
      </w:pPr>
      <w:r>
        <w:t>O regime de execução contratual, os modelos de gestão e de execução, assim como os prazos e condições de conclusão, entrega, observação e recebimento do objeto constam no Termo de Referência, anexo a este Contrato.</w:t>
      </w:r>
    </w:p>
    <w:p>
      <w:pPr>
        <w:pStyle w:val="39"/>
        <w:rPr>
          <w:color w:val="FFFFFF" w:themeColor="background1"/>
          <w14:textFill>
            <w14:solidFill>
              <w14:schemeClr w14:val="bg1"/>
            </w14:solidFill>
          </w14:textFill>
        </w:rPr>
      </w:pPr>
      <w:r>
        <w:t>CLÁUSULA QUARTA – SUBCONTRATAÇÃO</w:t>
      </w:r>
    </w:p>
    <w:p>
      <w:pPr>
        <w:pStyle w:val="103"/>
        <w:rPr>
          <w:i w:val="0"/>
          <w:iCs w:val="0"/>
          <w:color w:val="auto"/>
        </w:rPr>
      </w:pPr>
      <w:r>
        <w:rPr>
          <w:i w:val="0"/>
          <w:iCs w:val="0"/>
          <w:color w:val="auto"/>
        </w:rPr>
        <w:t>Não será admitida a subcontratação do objeto contratual.</w:t>
      </w:r>
    </w:p>
    <w:p>
      <w:pPr>
        <w:pStyle w:val="39"/>
        <w:rPr>
          <w:color w:val="FFFFFF" w:themeColor="background1"/>
          <w14:textFill>
            <w14:solidFill>
              <w14:schemeClr w14:val="bg1"/>
            </w14:solidFill>
          </w14:textFill>
        </w:rPr>
      </w:pPr>
      <w:r>
        <w:t>CLÁUSULA QUINTA – PREÇO (</w:t>
      </w:r>
      <w:r>
        <w:fldChar w:fldCharType="begin"/>
      </w:r>
      <w:r>
        <w:instrText xml:space="preserve"> HYPERLINK "http://www.planalto.gov.br/ccivil_03/_ato2019-2022/2021/lei/L14133.htm" \l "art92" </w:instrText>
      </w:r>
      <w:r>
        <w:fldChar w:fldCharType="separate"/>
      </w:r>
      <w:r>
        <w:rPr>
          <w:rStyle w:val="13"/>
        </w:rPr>
        <w:t>art. 92, V</w:t>
      </w:r>
      <w:r>
        <w:rPr>
          <w:rStyle w:val="13"/>
        </w:rPr>
        <w:fldChar w:fldCharType="end"/>
      </w:r>
      <w:r>
        <w:t>)</w:t>
      </w:r>
    </w:p>
    <w:p>
      <w:pPr>
        <w:pStyle w:val="103"/>
        <w:rPr>
          <w:i w:val="0"/>
          <w:iCs w:val="0"/>
          <w:color w:val="auto"/>
        </w:rPr>
      </w:pPr>
      <w:r>
        <w:rPr>
          <w:i w:val="0"/>
          <w:iCs w:val="0"/>
          <w:color w:val="auto"/>
        </w:rPr>
        <w:t xml:space="preserve">O valor total da contratação é de </w:t>
      </w:r>
      <w:r>
        <w:rPr>
          <w:b/>
          <w:bCs/>
          <w:i w:val="0"/>
          <w:iCs w:val="0"/>
          <w:color w:val="auto"/>
        </w:rPr>
        <w:t>R$.......... (.....)</w:t>
      </w:r>
    </w:p>
    <w:p>
      <w:pPr>
        <w:pStyle w:val="56"/>
      </w:pPr>
      <w: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103"/>
        <w:rPr>
          <w:i w:val="0"/>
          <w:iCs w:val="0"/>
        </w:rPr>
      </w:pPr>
      <w:r>
        <w:rPr>
          <w:i w:val="0"/>
          <w:iCs w:val="0"/>
          <w:color w:val="auto"/>
        </w:rPr>
        <w:t>O valor acima é meramente estimativo, de forma que os pagamentos devidos ao contratado dependerão dos quantitativos efetivamente fornecidos.</w:t>
      </w:r>
    </w:p>
    <w:p>
      <w:pPr>
        <w:pStyle w:val="39"/>
        <w:rPr>
          <w:color w:val="FFFFFF" w:themeColor="background1"/>
          <w14:textFill>
            <w14:solidFill>
              <w14:schemeClr w14:val="bg1"/>
            </w14:solidFill>
          </w14:textFill>
        </w:rPr>
      </w:pPr>
      <w:r>
        <w:t>CLÁUSULA SEXTA - PAGAMENTO (</w:t>
      </w:r>
      <w:r>
        <w:fldChar w:fldCharType="begin"/>
      </w:r>
      <w:r>
        <w:instrText xml:space="preserve"> HYPERLINK "http://www.planalto.gov.br/ccivil_03/_ato2019-2022/2021/lei/L14133.htm" \l "art92" </w:instrText>
      </w:r>
      <w:r>
        <w:fldChar w:fldCharType="separate"/>
      </w:r>
      <w:r>
        <w:rPr>
          <w:rStyle w:val="13"/>
        </w:rPr>
        <w:t>art. 92, V e VI</w:t>
      </w:r>
      <w:r>
        <w:rPr>
          <w:rStyle w:val="13"/>
        </w:rPr>
        <w:fldChar w:fldCharType="end"/>
      </w:r>
      <w:r>
        <w:t>)</w:t>
      </w:r>
    </w:p>
    <w:p>
      <w:pPr>
        <w:pStyle w:val="56"/>
      </w:pPr>
      <w:r>
        <w:t xml:space="preserve">O prazo para pagamento </w:t>
      </w:r>
      <w:r>
        <w:rPr>
          <w:color w:val="auto"/>
          <w:lang w:eastAsia="en-US"/>
        </w:rPr>
        <w:t>ao contratado</w:t>
      </w:r>
      <w:r>
        <w:t xml:space="preserve"> e demais condições a ele referentes encontram-se definidos no Termo de Referência, anexo a este Contrato.</w:t>
      </w:r>
    </w:p>
    <w:p>
      <w:pPr>
        <w:pStyle w:val="39"/>
        <w:rPr>
          <w:color w:val="FFFFFF" w:themeColor="background1"/>
          <w14:textFill>
            <w14:solidFill>
              <w14:schemeClr w14:val="bg1"/>
            </w14:solidFill>
          </w14:textFill>
        </w:rPr>
      </w:pPr>
      <w:r>
        <w:t>CLÁUSULA SÉTIMA - REAJUSTE (</w:t>
      </w:r>
      <w:r>
        <w:fldChar w:fldCharType="begin"/>
      </w:r>
      <w:r>
        <w:instrText xml:space="preserve"> HYPERLINK "http://www.planalto.gov.br/ccivil_03/_ato2019-2022/2021/lei/L14133.htm" \l "art92" </w:instrText>
      </w:r>
      <w:r>
        <w:fldChar w:fldCharType="separate"/>
      </w:r>
      <w:r>
        <w:rPr>
          <w:rStyle w:val="13"/>
        </w:rPr>
        <w:t>art. 92, V</w:t>
      </w:r>
      <w:r>
        <w:rPr>
          <w:rStyle w:val="13"/>
        </w:rPr>
        <w:fldChar w:fldCharType="end"/>
      </w:r>
      <w:r>
        <w:t>)</w:t>
      </w:r>
    </w:p>
    <w:p>
      <w:pPr>
        <w:pStyle w:val="56"/>
      </w:pPr>
      <w:r>
        <w:t>Os preços inicialmente contratados são fixos e irreajustáveis no prazo de um ano contado da data do orçamento estimado.</w:t>
      </w:r>
    </w:p>
    <w:p>
      <w:pPr>
        <w:pStyle w:val="56"/>
      </w:pPr>
      <w:r>
        <w:t xml:space="preserve">Após o interregno de um ano, e </w:t>
      </w:r>
      <w:bookmarkStart w:id="2" w:name="_Hlk132722410"/>
      <w:r>
        <w:t xml:space="preserve">independentemente de pedido do contratado, </w:t>
      </w:r>
      <w:bookmarkEnd w:id="2"/>
      <w:r>
        <w:t xml:space="preserve">os preços iniciais serão reajustados, mediante a aplicação, pelo contratante, do </w:t>
      </w:r>
      <w:r>
        <w:rPr>
          <w:b/>
          <w:bCs/>
        </w:rPr>
        <w:t>INPC/IBGE</w:t>
      </w:r>
      <w:r>
        <w:t>, exclusivamente para as obrigações iniciadas e concluídas após a ocorrência da anualidade.</w:t>
      </w:r>
    </w:p>
    <w:p>
      <w:pPr>
        <w:pStyle w:val="56"/>
      </w:pPr>
      <w:r>
        <w:t>Nos reajustes subsequentes ao primeiro, o interregno mínimo de um ano será contado a partir dos efeitos financeiros do último reajuste.</w:t>
      </w:r>
    </w:p>
    <w:p>
      <w:pPr>
        <w:pStyle w:val="56"/>
      </w:pPr>
      <w: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pPr>
        <w:pStyle w:val="56"/>
      </w:pPr>
      <w:r>
        <w:t>Nas aferições finais, o(s) índice(s) utilizado(s) para reajuste será(ão), obrigatoriamente, o(s) definitivo(s).</w:t>
      </w:r>
    </w:p>
    <w:p>
      <w:pPr>
        <w:pStyle w:val="56"/>
      </w:pPr>
      <w:r>
        <w:t>Caso o(s) índice(s) estabelecido(s) para reajustamento venha(m) a ser extinto(s) ou de qualquer forma não possa(m) mais ser utilizado(s), será(ão) adotado(s), em substituição, o(s) que vier(em) a ser determinado(s) pela legislação então em vigor.</w:t>
      </w:r>
    </w:p>
    <w:p>
      <w:pPr>
        <w:pStyle w:val="56"/>
      </w:pPr>
      <w:r>
        <w:t xml:space="preserve">Na ausência de previsão legal quanto ao índice substituto, as partes elegerão novo índice oficial, para reajustamento do preço do valor remanescente, por meio de termo aditivo. </w:t>
      </w:r>
    </w:p>
    <w:p>
      <w:pPr>
        <w:pStyle w:val="56"/>
      </w:pPr>
      <w:r>
        <w:t>O reajuste será realizado por apostilamento.</w:t>
      </w:r>
    </w:p>
    <w:p>
      <w:pPr>
        <w:pStyle w:val="39"/>
        <w:rPr>
          <w:color w:val="FFFFFF" w:themeColor="background1"/>
          <w14:textFill>
            <w14:solidFill>
              <w14:schemeClr w14:val="bg1"/>
            </w14:solidFill>
          </w14:textFill>
        </w:rPr>
      </w:pPr>
      <w:r>
        <w:t xml:space="preserve">CLÁUSULA OITAVA - OBRIGAÇÕES DO CONTRATANTE </w:t>
      </w:r>
      <w:r>
        <w:fldChar w:fldCharType="begin"/>
      </w:r>
      <w:r>
        <w:instrText xml:space="preserve"> HYPERLINK "http://www.planalto.gov.br/ccivil_03/_ato2019-2022/2021/lei/L14133.htm" \l "art92" </w:instrText>
      </w:r>
      <w:r>
        <w:fldChar w:fldCharType="separate"/>
      </w:r>
      <w:r>
        <w:rPr>
          <w:rStyle w:val="13"/>
        </w:rPr>
        <w:t>(art. 92, X, XI e XIV</w:t>
      </w:r>
      <w:r>
        <w:rPr>
          <w:rStyle w:val="13"/>
        </w:rPr>
        <w:fldChar w:fldCharType="end"/>
      </w:r>
      <w:r>
        <w:t>)</w:t>
      </w:r>
    </w:p>
    <w:p>
      <w:pPr>
        <w:pStyle w:val="56"/>
      </w:pPr>
      <w:r>
        <w:t>São obrigações do Contratante:</w:t>
      </w:r>
    </w:p>
    <w:p>
      <w:pPr>
        <w:pStyle w:val="56"/>
      </w:pPr>
      <w:r>
        <w:t>Exigir o cumprimento de todas as obrigações assumidas pelo Contratado, de acordo com o contrato e seus anexos;</w:t>
      </w:r>
    </w:p>
    <w:p>
      <w:pPr>
        <w:pStyle w:val="56"/>
      </w:pPr>
      <w:r>
        <w:t>Receber o objeto no prazo e condições estabelecidas no Termo de Referência;</w:t>
      </w:r>
    </w:p>
    <w:p>
      <w:pPr>
        <w:pStyle w:val="56"/>
      </w:pPr>
      <w:r>
        <w:t>Notificar o Contratado, por escrito, sobre vícios, defeitos ou incorreções verificadas no objeto fornecido, para que seja por ele substituído, reparado ou corrigido, no total ou em parte, às suas expensas;</w:t>
      </w:r>
    </w:p>
    <w:p>
      <w:pPr>
        <w:pStyle w:val="56"/>
      </w:pPr>
      <w:r>
        <w:t>Acompanhar e fiscalizar a execução do contrato e o cumprimento das obrigações pelo Contratado;</w:t>
      </w:r>
    </w:p>
    <w:p>
      <w:pPr>
        <w:pStyle w:val="56"/>
      </w:pPr>
      <w: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pPr>
        <w:pStyle w:val="56"/>
      </w:pPr>
      <w:r>
        <w:t>Efetuar o pagamento ao Contratado do valor correspondente à execução do objeto, no prazo, forma e condições estabelecidos no presente Contrato e no Termo de Referência;</w:t>
      </w:r>
    </w:p>
    <w:p>
      <w:pPr>
        <w:pStyle w:val="56"/>
      </w:pPr>
      <w:r>
        <w:t xml:space="preserve">Aplicar ao Contratado as sanções previstas na lei e neste Contrato; </w:t>
      </w:r>
    </w:p>
    <w:p>
      <w:pPr>
        <w:pStyle w:val="56"/>
      </w:pPr>
      <w:r>
        <w:t>Cientificar a Procuradoria Geral do Coren-M</w:t>
      </w:r>
      <w:r>
        <w:rPr>
          <w:rFonts w:hint="default"/>
          <w:lang w:val="pt-BR"/>
        </w:rPr>
        <w:t>T</w:t>
      </w:r>
      <w:r>
        <w:t xml:space="preserve"> para adoção das medidas cabíveis quando do descumprimento de obrigações pelo Contratado;</w:t>
      </w:r>
    </w:p>
    <w:p>
      <w:pPr>
        <w:pStyle w:val="56"/>
      </w:pPr>
      <w:r>
        <w:t>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58"/>
        <w:rPr>
          <w:b/>
          <w:bCs/>
        </w:rPr>
      </w:pPr>
      <w:r>
        <w:t xml:space="preserve"> A Administração terá o prazo de</w:t>
      </w:r>
      <w:r>
        <w:rPr>
          <w:i/>
          <w:iCs/>
          <w:color w:val="FF0000"/>
        </w:rPr>
        <w:t xml:space="preserve"> </w:t>
      </w:r>
      <w:r>
        <w:rPr>
          <w:color w:val="auto"/>
        </w:rPr>
        <w:t xml:space="preserve">10 (dez) dias, </w:t>
      </w:r>
      <w:r>
        <w:t xml:space="preserve">a contar da data do protocolo do requerimento para decidir, admitida a prorrogação motivada, por igual período. </w:t>
      </w:r>
    </w:p>
    <w:p>
      <w:pPr>
        <w:pStyle w:val="56"/>
        <w:rPr>
          <w:color w:val="FF0000"/>
        </w:rPr>
      </w:pPr>
      <w:r>
        <w:t xml:space="preserve">Responder eventuais pedidos de reestabelecimento do equilíbrio econômico-financeiro feitos pelo contratado no prazo máximo de </w:t>
      </w:r>
      <w:r>
        <w:rPr>
          <w:color w:val="auto"/>
        </w:rPr>
        <w:t>10 (dez) dias.</w:t>
      </w:r>
    </w:p>
    <w:p>
      <w:pPr>
        <w:pStyle w:val="103"/>
        <w:rPr>
          <w:i w:val="0"/>
          <w:iCs w:val="0"/>
        </w:rPr>
      </w:pPr>
      <w:bookmarkStart w:id="3" w:name="_Hlk114499841"/>
      <w:bookmarkEnd w:id="3"/>
      <w:r>
        <w:rPr>
          <w:i w:val="0"/>
          <w:iCs w:val="0"/>
          <w:color w:val="auto"/>
        </w:rPr>
        <w:t>Notificar os emitentes das garantias quanto ao início de processo administrativo para apuração de descumprimento de cláusulas contratuais.</w:t>
      </w:r>
    </w:p>
    <w:p>
      <w:pPr>
        <w:pStyle w:val="56"/>
      </w:pPr>
      <w:r>
        <w:t xml:space="preserve">Comunicar o Contratado na hipótese de posterior alteração do projeto pelo Contratante, no caso </w:t>
      </w:r>
      <w:r>
        <w:fldChar w:fldCharType="begin"/>
      </w:r>
      <w:r>
        <w:instrText xml:space="preserve"> HYPERLINK "http://www.planalto.gov.br/ccivil_03/_ato2019-2022/2021/lei/L14133.htm" \l "art93§2" </w:instrText>
      </w:r>
      <w:r>
        <w:fldChar w:fldCharType="separate"/>
      </w:r>
      <w:r>
        <w:rPr>
          <w:rStyle w:val="13"/>
        </w:rPr>
        <w:t>do art. 93, §2º, da Lei nº 14.133, de 2021</w:t>
      </w:r>
      <w:r>
        <w:rPr>
          <w:rStyle w:val="13"/>
        </w:rPr>
        <w:fldChar w:fldCharType="end"/>
      </w:r>
      <w:r>
        <w:t>.</w:t>
      </w:r>
    </w:p>
    <w:p>
      <w:pPr>
        <w:pStyle w:val="56"/>
      </w:pPr>
      <w: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39"/>
        <w:rPr>
          <w:color w:val="FFFFFF" w:themeColor="background1"/>
          <w14:textFill>
            <w14:solidFill>
              <w14:schemeClr w14:val="bg1"/>
            </w14:solidFill>
          </w14:textFill>
        </w:rPr>
      </w:pPr>
      <w:r>
        <w:t>CLÁUSULA NONA - OBRIGAÇÕES DO CONTRATADO (</w:t>
      </w:r>
      <w:r>
        <w:fldChar w:fldCharType="begin"/>
      </w:r>
      <w:r>
        <w:instrText xml:space="preserve"> HYPERLINK "http://www.planalto.gov.br/ccivil_03/_ato2019-2022/2021/lei/L14133.htm" \l "art92" </w:instrText>
      </w:r>
      <w:r>
        <w:fldChar w:fldCharType="separate"/>
      </w:r>
      <w:r>
        <w:rPr>
          <w:rStyle w:val="13"/>
        </w:rPr>
        <w:t>art. 92, XIV, XVI e XVII</w:t>
      </w:r>
      <w:r>
        <w:rPr>
          <w:rStyle w:val="13"/>
        </w:rPr>
        <w:fldChar w:fldCharType="end"/>
      </w:r>
      <w:r>
        <w:t>)</w:t>
      </w:r>
    </w:p>
    <w:p>
      <w:pPr>
        <w:pStyle w:val="56"/>
      </w:pPr>
      <w:r>
        <w:t>O Contratado deve cumprir todas as obrigações constantes deste Contrato e de seus anexos, assumindo como exclusivamente seus os riscos e as despesas decorrentes da boa e perfeita execução do objeto, observando, ainda, as obrigações a seguir dispostas:</w:t>
      </w:r>
    </w:p>
    <w:p>
      <w:pPr>
        <w:pStyle w:val="56"/>
      </w:pPr>
      <w:r>
        <w:t>Manter preposto aceito pela Administração no local do serviço para representá-lo na execução do contrato.</w:t>
      </w:r>
    </w:p>
    <w:p>
      <w:pPr>
        <w:pStyle w:val="56"/>
      </w:pPr>
      <w:r>
        <w:t>A indicação ou a manutenção do preposto da empresa poderá ser recusada pelo órgão ou entidade, desde que devidamente justificada, devendo a empresa designar outro para o exercício da atividade.</w:t>
      </w:r>
    </w:p>
    <w:p>
      <w:pPr>
        <w:pStyle w:val="56"/>
      </w:pPr>
      <w:r>
        <w:t>Atender às determinações regulares emitidas pelo fiscal do contrato ou autoridade superior (</w:t>
      </w:r>
      <w:r>
        <w:fldChar w:fldCharType="begin"/>
      </w:r>
      <w:r>
        <w:instrText xml:space="preserve"> HYPERLINK "http://www.planalto.gov.br/ccivil_03/_ato2019-2022/2021/lei/L14133.htm" \l "art137" </w:instrText>
      </w:r>
      <w:r>
        <w:fldChar w:fldCharType="separate"/>
      </w:r>
      <w:r>
        <w:rPr>
          <w:rStyle w:val="13"/>
        </w:rPr>
        <w:t>art. 137, II</w:t>
      </w:r>
      <w:r>
        <w:rPr>
          <w:rStyle w:val="13"/>
        </w:rPr>
        <w:fldChar w:fldCharType="end"/>
      </w:r>
      <w:r>
        <w:t xml:space="preserve">) </w:t>
      </w:r>
      <w:r>
        <w:rPr>
          <w:color w:val="000000" w:themeColor="text1"/>
          <w14:textFill>
            <w14:solidFill>
              <w14:schemeClr w14:val="tx1"/>
            </w14:solidFill>
          </w14:textFill>
        </w:rPr>
        <w:t xml:space="preserve">e </w:t>
      </w:r>
      <w:r>
        <w:t>prestar todo esclarecimento ou informação por eles solicitados</w:t>
      </w:r>
      <w:r>
        <w:rPr>
          <w:color w:val="000000" w:themeColor="text1"/>
          <w14:textFill>
            <w14:solidFill>
              <w14:schemeClr w14:val="tx1"/>
            </w14:solidFill>
          </w14:textFill>
        </w:rPr>
        <w:t>;</w:t>
      </w:r>
    </w:p>
    <w:p>
      <w:pPr>
        <w:pStyle w:val="56"/>
      </w:pPr>
      <w: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pPr>
        <w:pStyle w:val="56"/>
      </w:pPr>
      <w:r>
        <w:t>Reparar, corrigir, remover, reconstruir ou substituir, às suas expensas, no total ou em parte, no prazo fixado pelo fiscal do contrato, os serviços nos quais se verificarem vícios, defeitos ou incorreções resultantes da execução ou dos materiais empregados;</w:t>
      </w:r>
    </w:p>
    <w:p>
      <w:pPr>
        <w:pStyle w:val="56"/>
      </w:pPr>
      <w:r>
        <w:t xml:space="preserve">Responsabilizar-se pelos vícios e danos decorrentes da execução do objeto, de acordo com o </w:t>
      </w:r>
      <w:r>
        <w:fldChar w:fldCharType="begin"/>
      </w:r>
      <w:r>
        <w:instrText xml:space="preserve"> HYPERLINK "https://www.planalto.gov.br/ccivil_03/leis/l8078compilado.htm" </w:instrText>
      </w:r>
      <w:r>
        <w:fldChar w:fldCharType="separate"/>
      </w:r>
      <w:r>
        <w:rPr>
          <w:rStyle w:val="13"/>
        </w:rPr>
        <w:t>Código de Defesa do Consumidor (Lei nº 8.078, de 1990</w:t>
      </w:r>
      <w:r>
        <w:rPr>
          <w:rStyle w:val="13"/>
        </w:rPr>
        <w:fldChar w:fldCharType="end"/>
      </w:r>
      <w: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pPr>
        <w:pStyle w:val="56"/>
      </w:pPr>
      <w:r>
        <w:t xml:space="preserve">Não contratar, durante a vigência do contrato, cônjuge, companheiro ou parente em linha reta, colateral ou por afinidade, até o terceiro grau, de dirigente do contratante ou do fiscal ou gestor do contrato, nos termos do </w:t>
      </w:r>
      <w:r>
        <w:fldChar w:fldCharType="begin"/>
      </w:r>
      <w:r>
        <w:instrText xml:space="preserve"> HYPERLINK "http://www.planalto.gov.br/ccivil_03/_ato2019-2022/2021/lei/L14133.htm" \l "art48" </w:instrText>
      </w:r>
      <w:r>
        <w:fldChar w:fldCharType="separate"/>
      </w:r>
      <w:r>
        <w:rPr>
          <w:rStyle w:val="13"/>
        </w:rPr>
        <w:t>artigo 48, parágrafo único, da Lei nº 14.133, de 2021</w:t>
      </w:r>
      <w:r>
        <w:rPr>
          <w:rStyle w:val="13"/>
        </w:rPr>
        <w:fldChar w:fldCharType="end"/>
      </w:r>
      <w:r>
        <w:t>;</w:t>
      </w:r>
    </w:p>
    <w:p>
      <w:pPr>
        <w:pStyle w:val="56"/>
      </w:pPr>
      <w: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pPr>
        <w:pStyle w:val="56"/>
      </w:pPr>
      <w: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pPr>
        <w:pStyle w:val="56"/>
      </w:pPr>
      <w:r>
        <w:t>Comunicar ao Fiscal do contrato, no prazo de 24 (vinte e quatro) horas, qualquer ocorrência anormal ou acidente que se verifique no local dos serviços.</w:t>
      </w:r>
    </w:p>
    <w:p>
      <w:pPr>
        <w:pStyle w:val="56"/>
      </w:pPr>
      <w:r>
        <w:t>Prestar todo esclarecimento ou informação solicitada pelo Contratante ou por seus prepostos, garantindo-lhes o acesso, a qualquer tempo, ao local dos trabalhos, bem como aos documentos relativos à execução do empreendimento.</w:t>
      </w:r>
    </w:p>
    <w:p>
      <w:pPr>
        <w:pStyle w:val="56"/>
      </w:pPr>
      <w:r>
        <w:t>Paralisar, por determinação do Contratante, qualquer atividade que não esteja sendo executada de acordo com a boa técnica ou que ponha em risco a segurança de pessoas ou bens de terceiros.</w:t>
      </w:r>
    </w:p>
    <w:p>
      <w:pPr>
        <w:pStyle w:val="56"/>
      </w:pPr>
      <w:r>
        <w:t>Promover a guarda, manutenção e vigilância de materiais, ferramentas, e tudo o que for necessário à execução do objeto, durante a vigência do contrato.</w:t>
      </w:r>
    </w:p>
    <w:p>
      <w:pPr>
        <w:pStyle w:val="56"/>
      </w:pPr>
      <w:r>
        <w:t>Conduzir os trabalhos com estrita observância às normas da legislação pertinente, cumprindo as determinações dos Poderes Públicos, mantendo sempre limpo o local dos serviços e nas melhores condições de segurança, higiene e disciplina.</w:t>
      </w:r>
    </w:p>
    <w:p>
      <w:pPr>
        <w:pStyle w:val="56"/>
      </w:pPr>
      <w:r>
        <w:t>Submeter previamente, por escrito, ao Contratante, para análise e aprovação, quaisquer mudanças nos métodos executivos que fujam às especificações do memorial descritivo ou instrumento congênere.</w:t>
      </w:r>
    </w:p>
    <w:p>
      <w:pPr>
        <w:pStyle w:val="56"/>
      </w:pPr>
      <w: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56"/>
      </w:pPr>
      <w:r>
        <w:t xml:space="preserve"> Manter durante toda a vigência do contrato, em compatibilidade com as obrigações assumidas, todas as condições exigidas para habilitação na licitação; </w:t>
      </w:r>
    </w:p>
    <w:p>
      <w:pPr>
        <w:pStyle w:val="56"/>
        <w:rPr>
          <w:b/>
          <w:bCs/>
        </w:rPr>
      </w:pPr>
      <w: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13"/>
        </w:rPr>
        <w:t>art. 116</w:t>
      </w:r>
      <w:r>
        <w:rPr>
          <w:rStyle w:val="13"/>
        </w:rPr>
        <w:fldChar w:fldCharType="end"/>
      </w:r>
      <w:r>
        <w:t>);</w:t>
      </w:r>
    </w:p>
    <w:p>
      <w:pPr>
        <w:pStyle w:val="56"/>
      </w:pPr>
      <w: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3"/>
        </w:rPr>
        <w:t>art. 116, parágrafo único</w:t>
      </w:r>
      <w:r>
        <w:rPr>
          <w:rStyle w:val="13"/>
        </w:rPr>
        <w:fldChar w:fldCharType="end"/>
      </w:r>
      <w:r>
        <w:t>);</w:t>
      </w:r>
    </w:p>
    <w:p>
      <w:pPr>
        <w:pStyle w:val="56"/>
      </w:pPr>
      <w:r>
        <w:t>Guardar sigilo sobre todas as informações obtidas em decorrência do cumprimento do contrato;</w:t>
      </w:r>
    </w:p>
    <w:p>
      <w:pPr>
        <w:pStyle w:val="56"/>
      </w:pPr>
      <w: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w:instrText>
      </w:r>
      <w:r>
        <w:fldChar w:fldCharType="separate"/>
      </w:r>
      <w:r>
        <w:rPr>
          <w:rStyle w:val="13"/>
        </w:rPr>
        <w:t>art. 124, II, d, da Lei nº 14.133, de 2021</w:t>
      </w:r>
      <w:r>
        <w:rPr>
          <w:rStyle w:val="13"/>
        </w:rPr>
        <w:fldChar w:fldCharType="end"/>
      </w:r>
      <w:r>
        <w:t>;</w:t>
      </w:r>
    </w:p>
    <w:p>
      <w:pPr>
        <w:pStyle w:val="56"/>
      </w:pPr>
      <w:r>
        <w:t>Cumprir, além dos postulados legais vigentes de âmbito federal, estadual ou municipal, as normas de segurança do Contratante;</w:t>
      </w:r>
    </w:p>
    <w:p>
      <w:pPr>
        <w:pStyle w:val="103"/>
        <w:rPr>
          <w:i w:val="0"/>
          <w:iCs w:val="0"/>
          <w:color w:val="auto"/>
        </w:rPr>
      </w:pPr>
      <w:r>
        <w:rPr>
          <w:i w:val="0"/>
          <w:iCs w:val="0"/>
          <w:color w:val="auto"/>
        </w:rPr>
        <w:t>Realizar os serviços de manutenção e assistência técnica, sempre que necessário, no(s) equipamentos, nos locais citados na tabela que consta na cláusula 3.7 do Termo de Referência;</w:t>
      </w:r>
    </w:p>
    <w:p>
      <w:pPr>
        <w:pStyle w:val="39"/>
      </w:pPr>
      <w:r>
        <w:t>CLÁUSULA DÉCIMA- OBRIGAÇÕES PERTINENTES À LGPD</w:t>
      </w:r>
    </w:p>
    <w:p>
      <w:pPr>
        <w:pStyle w:val="103"/>
        <w:rPr>
          <w:i w:val="0"/>
          <w:iCs w:val="0"/>
          <w:color w:val="auto"/>
        </w:rPr>
      </w:pPr>
      <w:r>
        <w:rPr>
          <w:i w:val="0"/>
          <w:iCs w:val="0"/>
          <w:color w:val="auto"/>
        </w:rPr>
        <w:t xml:space="preserve">As partes deverão cumprir a </w:t>
      </w:r>
      <w:r>
        <w:fldChar w:fldCharType="begin"/>
      </w:r>
      <w:r>
        <w:instrText xml:space="preserve"> HYPERLINK "https://www.planalto.gov.br/ccivil_03/_ato2015-2018/2018/lei/l13709.htm" </w:instrText>
      </w:r>
      <w:r>
        <w:fldChar w:fldCharType="separate"/>
      </w:r>
      <w:r>
        <w:rPr>
          <w:rStyle w:val="13"/>
          <w:i w:val="0"/>
          <w:iCs w:val="0"/>
          <w:color w:val="auto"/>
        </w:rPr>
        <w:t>Lei nº 13.709, de 14 de agosto de 2018 (LGPD)</w:t>
      </w:r>
      <w:r>
        <w:rPr>
          <w:rStyle w:val="13"/>
          <w:i w:val="0"/>
          <w:iCs w:val="0"/>
          <w:color w:val="auto"/>
        </w:rPr>
        <w:fldChar w:fldCharType="end"/>
      </w:r>
      <w:r>
        <w:rPr>
          <w:i w:val="0"/>
          <w:iCs w:val="0"/>
          <w:color w:val="auto"/>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pPr>
        <w:pStyle w:val="103"/>
        <w:rPr>
          <w:i w:val="0"/>
          <w:iCs w:val="0"/>
          <w:color w:val="auto"/>
        </w:rPr>
      </w:pPr>
      <w:r>
        <w:rPr>
          <w:i w:val="0"/>
          <w:iCs w:val="0"/>
          <w:color w:val="auto"/>
        </w:rPr>
        <w:t xml:space="preserve">Os dados obtidos somente poderão ser utilizados para as finalidades que justificaram seu acesso e de acordo com a boa-fé e com os princípios do </w:t>
      </w:r>
      <w:r>
        <w:fldChar w:fldCharType="begin"/>
      </w:r>
      <w:r>
        <w:instrText xml:space="preserve"> HYPERLINK "https://www.planalto.gov.br/ccivil_03/_ato2015-2018/2018/lei/l13709.htm" \l "art6" </w:instrText>
      </w:r>
      <w:r>
        <w:fldChar w:fldCharType="separate"/>
      </w:r>
      <w:r>
        <w:rPr>
          <w:rStyle w:val="13"/>
          <w:i w:val="0"/>
          <w:iCs w:val="0"/>
          <w:color w:val="auto"/>
        </w:rPr>
        <w:t>art. 6º da LGPD</w:t>
      </w:r>
      <w:r>
        <w:rPr>
          <w:rStyle w:val="13"/>
          <w:i w:val="0"/>
          <w:iCs w:val="0"/>
          <w:color w:val="auto"/>
        </w:rPr>
        <w:fldChar w:fldCharType="end"/>
      </w:r>
      <w:r>
        <w:rPr>
          <w:i w:val="0"/>
          <w:iCs w:val="0"/>
          <w:color w:val="auto"/>
        </w:rPr>
        <w:t xml:space="preserve">. </w:t>
      </w:r>
    </w:p>
    <w:p>
      <w:pPr>
        <w:pStyle w:val="103"/>
        <w:rPr>
          <w:i w:val="0"/>
          <w:iCs w:val="0"/>
          <w:color w:val="auto"/>
        </w:rPr>
      </w:pPr>
      <w:r>
        <w:rPr>
          <w:i w:val="0"/>
          <w:iCs w:val="0"/>
          <w:color w:val="auto"/>
        </w:rPr>
        <w:t>É vedado o compartilhamento com terceiros dos dados obtidos fora das hipóteses permitidas em Lei.</w:t>
      </w:r>
    </w:p>
    <w:p>
      <w:pPr>
        <w:pStyle w:val="103"/>
        <w:rPr>
          <w:i w:val="0"/>
          <w:iCs w:val="0"/>
          <w:color w:val="auto"/>
        </w:rPr>
      </w:pPr>
      <w:r>
        <w:rPr>
          <w:i w:val="0"/>
          <w:iCs w:val="0"/>
          <w:color w:val="auto"/>
        </w:rPr>
        <w:t xml:space="preserve">A Administração deverá ser informada no prazo de 5 (cinco) dias úteis sobre todos os contratos de suboperação firmados ou que venham a ser celebrados pelo Contratado. </w:t>
      </w:r>
    </w:p>
    <w:p>
      <w:pPr>
        <w:pStyle w:val="103"/>
        <w:rPr>
          <w:i w:val="0"/>
          <w:iCs w:val="0"/>
          <w:color w:val="auto"/>
        </w:rPr>
      </w:pPr>
      <w:r>
        <w:rPr>
          <w:i w:val="0"/>
          <w:iCs w:val="0"/>
          <w:color w:val="auto"/>
        </w:rPr>
        <w:t xml:space="preserve">Terminado o tratamento dos dados nos termos do </w:t>
      </w:r>
      <w:r>
        <w:fldChar w:fldCharType="begin"/>
      </w:r>
      <w:r>
        <w:instrText xml:space="preserve"> HYPERLINK "https://www.planalto.gov.br/ccivil_03/_ato2015-2018/2018/lei/l13709.htm" \l "art15" </w:instrText>
      </w:r>
      <w:r>
        <w:fldChar w:fldCharType="separate"/>
      </w:r>
      <w:r>
        <w:rPr>
          <w:rStyle w:val="13"/>
          <w:i w:val="0"/>
          <w:iCs w:val="0"/>
          <w:color w:val="auto"/>
        </w:rPr>
        <w:t>art. 15 da LGPD</w:t>
      </w:r>
      <w:r>
        <w:rPr>
          <w:rStyle w:val="13"/>
          <w:i w:val="0"/>
          <w:iCs w:val="0"/>
          <w:color w:val="auto"/>
        </w:rPr>
        <w:fldChar w:fldCharType="end"/>
      </w:r>
      <w:r>
        <w:rPr>
          <w:i w:val="0"/>
          <w:iCs w:val="0"/>
          <w:color w:val="auto"/>
        </w:rPr>
        <w:t xml:space="preserve">, é dever do contratado eliminá-los, com exceção das hipóteses do </w:t>
      </w:r>
      <w:r>
        <w:fldChar w:fldCharType="begin"/>
      </w:r>
      <w:r>
        <w:instrText xml:space="preserve"> HYPERLINK "https://www.planalto.gov.br/ccivil_03/_ato2015-2018/2018/lei/l13709.htm" \l "art16" </w:instrText>
      </w:r>
      <w:r>
        <w:fldChar w:fldCharType="separate"/>
      </w:r>
      <w:r>
        <w:rPr>
          <w:rStyle w:val="13"/>
          <w:i w:val="0"/>
          <w:iCs w:val="0"/>
          <w:color w:val="auto"/>
        </w:rPr>
        <w:t>art. 16 da LGPD</w:t>
      </w:r>
      <w:r>
        <w:rPr>
          <w:rStyle w:val="13"/>
          <w:i w:val="0"/>
          <w:iCs w:val="0"/>
          <w:color w:val="auto"/>
        </w:rPr>
        <w:fldChar w:fldCharType="end"/>
      </w:r>
      <w:r>
        <w:rPr>
          <w:i w:val="0"/>
          <w:iCs w:val="0"/>
          <w:color w:val="auto"/>
        </w:rPr>
        <w:t xml:space="preserve">, incluindo aquelas em que houver necessidade de guarda de documentação para fins de comprovação do cumprimento de obrigações legais ou contratuais e somente enquanto não prescritas essas obrigações. </w:t>
      </w:r>
    </w:p>
    <w:p>
      <w:pPr>
        <w:pStyle w:val="103"/>
        <w:rPr>
          <w:i w:val="0"/>
          <w:iCs w:val="0"/>
          <w:color w:val="auto"/>
        </w:rPr>
      </w:pPr>
      <w:r>
        <w:rPr>
          <w:i w:val="0"/>
          <w:iCs w:val="0"/>
          <w:color w:val="auto"/>
        </w:rPr>
        <w:t xml:space="preserve">É dever do contratado orientar e treinar seus empregados sobre os deveres, requisitos e responsabilidades decorrentes da LGPD. </w:t>
      </w:r>
    </w:p>
    <w:p>
      <w:pPr>
        <w:pStyle w:val="103"/>
        <w:rPr>
          <w:i w:val="0"/>
          <w:iCs w:val="0"/>
          <w:color w:val="auto"/>
        </w:rPr>
      </w:pPr>
      <w:r>
        <w:rPr>
          <w:i w:val="0"/>
          <w:iCs w:val="0"/>
          <w:color w:val="auto"/>
        </w:rPr>
        <w:t>O Contratado deverá exigir de suboperadores e subcontratados o cumprimento dos deveres da presente cláusula, permanecendo integralmente responsável por garantir sua observância.</w:t>
      </w:r>
    </w:p>
    <w:p>
      <w:pPr>
        <w:pStyle w:val="103"/>
        <w:rPr>
          <w:i w:val="0"/>
          <w:iCs w:val="0"/>
          <w:color w:val="auto"/>
        </w:rPr>
      </w:pPr>
      <w:r>
        <w:rPr>
          <w:i w:val="0"/>
          <w:iCs w:val="0"/>
          <w:color w:val="auto"/>
        </w:rPr>
        <w:t xml:space="preserve">O Contratante poderá realizar diligência para aferir o cumprimento dessa cláusula, devendo o Contratado atender prontamente eventuais pedidos de comprovação formulados. </w:t>
      </w:r>
    </w:p>
    <w:p>
      <w:pPr>
        <w:pStyle w:val="103"/>
        <w:rPr>
          <w:i w:val="0"/>
          <w:iCs w:val="0"/>
          <w:color w:val="auto"/>
        </w:rPr>
      </w:pPr>
      <w:r>
        <w:rPr>
          <w:i w:val="0"/>
          <w:iCs w:val="0"/>
          <w:color w:val="auto"/>
        </w:rPr>
        <w:t xml:space="preserve">O Contratado deverá prestar, no prazo fixado pelo Contratante, prorrogável justificadamente, quaisquer informações acerca dos dados pessoais para cumprimento da LGPD, inclusive quanto a eventual descarte realizado. </w:t>
      </w:r>
    </w:p>
    <w:p>
      <w:pPr>
        <w:pStyle w:val="103"/>
        <w:rPr>
          <w:i w:val="0"/>
          <w:iCs w:val="0"/>
          <w:color w:val="auto"/>
        </w:rPr>
      </w:pPr>
      <w:r>
        <w:rPr>
          <w:i w:val="0"/>
          <w:iCs w:val="0"/>
          <w:color w:val="auto"/>
        </w:rP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w:instrText>
      </w:r>
      <w:r>
        <w:fldChar w:fldCharType="separate"/>
      </w:r>
      <w:r>
        <w:rPr>
          <w:rStyle w:val="13"/>
          <w:i w:val="0"/>
          <w:iCs w:val="0"/>
          <w:color w:val="auto"/>
        </w:rPr>
        <w:t>LGPD, art. 37</w:t>
      </w:r>
      <w:r>
        <w:rPr>
          <w:rStyle w:val="13"/>
          <w:i w:val="0"/>
          <w:iCs w:val="0"/>
          <w:color w:val="auto"/>
        </w:rPr>
        <w:fldChar w:fldCharType="end"/>
      </w:r>
      <w:r>
        <w:rPr>
          <w:i w:val="0"/>
          <w:iCs w:val="0"/>
          <w:color w:val="auto"/>
        </w:rPr>
        <w:t>), com cada acesso, data, horário e registro da finalidade, para efeito de responsabilização, em caso de eventuais omissões, desvios ou abusos.</w:t>
      </w:r>
    </w:p>
    <w:p>
      <w:pPr>
        <w:pStyle w:val="104"/>
        <w:rPr>
          <w:i w:val="0"/>
          <w:iCs w:val="0"/>
          <w:color w:val="auto"/>
        </w:rPr>
      </w:pPr>
      <w:r>
        <w:rPr>
          <w:i w:val="0"/>
          <w:iCs w:val="0"/>
          <w:color w:val="auto"/>
        </w:rPr>
        <w:t>Os referidos bancos de dados devem ser desenvolvidos em formato interoperável, a fim de garantir a reutilização desses dados pela Administração nas hipóteses previstas na LGPD.</w:t>
      </w:r>
    </w:p>
    <w:p>
      <w:pPr>
        <w:pStyle w:val="103"/>
        <w:rPr>
          <w:i w:val="0"/>
          <w:iCs w:val="0"/>
          <w:color w:val="auto"/>
        </w:rPr>
      </w:pPr>
      <w:r>
        <w:rPr>
          <w:i w:val="0"/>
          <w:iCs w:val="0"/>
          <w:color w:val="auto"/>
        </w:rPr>
        <w:t>O contrato está sujeito a ser alterado nos procedimentos pertinentes ao tratamento de dados pessoais, quando indicado pela autoridade competente, em especial a ANPD por meio de opiniões técnicas ou recomendações, editadas na forma da LGPD.</w:t>
      </w:r>
    </w:p>
    <w:p>
      <w:pPr>
        <w:pStyle w:val="103"/>
        <w:rPr>
          <w:i w:val="0"/>
          <w:iCs w:val="0"/>
          <w:color w:val="auto"/>
        </w:rPr>
      </w:pPr>
      <w:r>
        <w:rPr>
          <w:i w:val="0"/>
          <w:iCs w:val="0"/>
          <w:color w:val="auto"/>
        </w:rPr>
        <w:t xml:space="preserve">Os contratos e convênios de que trata o </w:t>
      </w:r>
      <w:r>
        <w:fldChar w:fldCharType="begin"/>
      </w:r>
      <w:r>
        <w:instrText xml:space="preserve"> HYPERLINK "https://www.planalto.gov.br/ccivil_03/_ato2015-2018/2018/lei/l13709.htm" \l "art26§1" </w:instrText>
      </w:r>
      <w:r>
        <w:fldChar w:fldCharType="separate"/>
      </w:r>
      <w:r>
        <w:rPr>
          <w:rStyle w:val="13"/>
          <w:i w:val="0"/>
          <w:iCs w:val="0"/>
          <w:color w:val="auto"/>
        </w:rPr>
        <w:t>§ 1º do art. 26 da LGPD</w:t>
      </w:r>
      <w:r>
        <w:rPr>
          <w:rStyle w:val="13"/>
          <w:i w:val="0"/>
          <w:iCs w:val="0"/>
          <w:color w:val="auto"/>
        </w:rPr>
        <w:fldChar w:fldCharType="end"/>
      </w:r>
      <w:r>
        <w:rPr>
          <w:i w:val="0"/>
          <w:iCs w:val="0"/>
          <w:color w:val="auto"/>
        </w:rPr>
        <w:t xml:space="preserve"> deverão ser comunicados à autoridade nacional.</w:t>
      </w:r>
    </w:p>
    <w:p>
      <w:pPr>
        <w:pStyle w:val="39"/>
        <w:rPr>
          <w:color w:val="FFFFFF" w:themeColor="background1"/>
          <w14:textFill>
            <w14:solidFill>
              <w14:schemeClr w14:val="bg1"/>
            </w14:solidFill>
          </w14:textFill>
        </w:rPr>
      </w:pPr>
      <w:r>
        <w:t>CLÁUSULA DÉCIMA PRIMEIRA – GARANTIA DE EXECUÇÃO (</w:t>
      </w:r>
      <w:r>
        <w:fldChar w:fldCharType="begin"/>
      </w:r>
      <w:r>
        <w:instrText xml:space="preserve"> HYPERLINK "http://www.planalto.gov.br/ccivil_03/_ato2019-2022/2021/lei/L14133.htm" \l "art92" </w:instrText>
      </w:r>
      <w:r>
        <w:fldChar w:fldCharType="separate"/>
      </w:r>
      <w:r>
        <w:rPr>
          <w:rStyle w:val="13"/>
        </w:rPr>
        <w:t>art. 92, XII</w:t>
      </w:r>
      <w:r>
        <w:rPr>
          <w:rStyle w:val="13"/>
        </w:rPr>
        <w:fldChar w:fldCharType="end"/>
      </w:r>
      <w:r>
        <w:t>)</w:t>
      </w:r>
    </w:p>
    <w:p>
      <w:pPr>
        <w:pStyle w:val="100"/>
      </w:pPr>
    </w:p>
    <w:p>
      <w:pPr>
        <w:pStyle w:val="103"/>
        <w:rPr>
          <w:i w:val="0"/>
          <w:iCs w:val="0"/>
          <w:color w:val="auto"/>
        </w:rPr>
      </w:pPr>
      <w:r>
        <w:rPr>
          <w:i w:val="0"/>
          <w:iCs w:val="0"/>
          <w:color w:val="auto"/>
        </w:rPr>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10% (dez por cento) do valor inicial/total/anual do contrato.</w:t>
      </w:r>
    </w:p>
    <w:p>
      <w:pPr>
        <w:pStyle w:val="104"/>
        <w:numPr>
          <w:ilvl w:val="0"/>
          <w:numId w:val="0"/>
        </w:numPr>
        <w:ind w:left="284"/>
        <w:rPr>
          <w:highlight w:val="yellow"/>
        </w:rPr>
      </w:pPr>
    </w:p>
    <w:p>
      <w:pPr>
        <w:pStyle w:val="103"/>
        <w:rPr>
          <w:b/>
          <w:bCs/>
          <w:i w:val="0"/>
          <w:iCs w:val="0"/>
          <w:color w:val="auto"/>
        </w:rPr>
      </w:pPr>
      <w:r>
        <w:rPr>
          <w:i w:val="0"/>
          <w:iCs w:val="0"/>
          <w:color w:val="auto"/>
        </w:rPr>
        <w:t xml:space="preserve">Caso utilizada a modalidade de </w:t>
      </w:r>
      <w:r>
        <w:rPr>
          <w:b/>
          <w:bCs/>
          <w:i w:val="0"/>
          <w:iCs w:val="0"/>
          <w:color w:val="auto"/>
        </w:rPr>
        <w:t>seguro-garantia, a apólice deverá ter validade durante a vigência do contrato e por mais 90 (noventa) dias após término deste prazo de vigência, permanecendo em vigor mesmo que o contratado não pague o prêmio nas datas convencionadas.</w:t>
      </w:r>
    </w:p>
    <w:p>
      <w:pPr>
        <w:pStyle w:val="103"/>
        <w:rPr>
          <w:i w:val="0"/>
          <w:iCs w:val="0"/>
          <w:color w:val="auto"/>
        </w:rPr>
      </w:pPr>
      <w:r>
        <w:rPr>
          <w:i w:val="0"/>
          <w:iCs w:val="0"/>
          <w:color w:val="auto"/>
        </w:rPr>
        <w:t>A apólice do seguro garantia deverá acompanhar as modificações referentes à vigência do contrato principal mediante a emissão do respectivo endosso pela seguradora.</w:t>
      </w:r>
    </w:p>
    <w:p>
      <w:pPr>
        <w:pStyle w:val="103"/>
        <w:rPr>
          <w:i w:val="0"/>
          <w:iCs w:val="0"/>
          <w:color w:val="auto"/>
        </w:rPr>
      </w:pPr>
      <w:r>
        <w:rPr>
          <w:i w:val="0"/>
          <w:iCs w:val="0"/>
          <w:color w:val="auto"/>
        </w:rPr>
        <w:t xml:space="preserve">Será permitida a substituição da apólice de seguro-garantia na data de renovação ou de aniversário, desde que mantidas as condições e coberturas da apólice vigente e nenhum período fique descoberto, ressalvado o disposto no item </w:t>
      </w:r>
      <w:r>
        <w:rPr>
          <w:i w:val="0"/>
          <w:iCs w:val="0"/>
          <w:color w:val="auto"/>
        </w:rPr>
        <w:fldChar w:fldCharType="begin"/>
      </w:r>
      <w:r>
        <w:rPr>
          <w:i w:val="0"/>
          <w:iCs w:val="0"/>
          <w:color w:val="auto"/>
        </w:rPr>
        <w:instrText xml:space="preserve"> REF _Ref118297051 \r \h  \* MERGEFORMAT </w:instrText>
      </w:r>
      <w:r>
        <w:rPr>
          <w:i w:val="0"/>
          <w:iCs w:val="0"/>
          <w:color w:val="auto"/>
        </w:rPr>
        <w:fldChar w:fldCharType="separate"/>
      </w:r>
      <w:r>
        <w:rPr>
          <w:i w:val="0"/>
          <w:iCs w:val="0"/>
          <w:color w:val="auto"/>
        </w:rPr>
        <w:t>11.9</w:t>
      </w:r>
      <w:r>
        <w:rPr>
          <w:i w:val="0"/>
          <w:iCs w:val="0"/>
          <w:color w:val="auto"/>
        </w:rPr>
        <w:fldChar w:fldCharType="end"/>
      </w:r>
      <w:r>
        <w:rPr>
          <w:i w:val="0"/>
          <w:iCs w:val="0"/>
          <w:color w:val="auto"/>
        </w:rPr>
        <w:t xml:space="preserve"> deste contrato.</w:t>
      </w:r>
    </w:p>
    <w:p>
      <w:pPr>
        <w:pStyle w:val="103"/>
        <w:rPr>
          <w:i w:val="0"/>
          <w:iCs w:val="0"/>
          <w:color w:val="auto"/>
        </w:rPr>
      </w:pPr>
      <w:bookmarkStart w:id="4" w:name="_Ref118297051"/>
      <w:bookmarkStart w:id="5" w:name="_Ref128491764"/>
      <w:r>
        <w:rPr>
          <w:i w:val="0"/>
          <w:iCs w:val="0"/>
          <w:color w:val="auto"/>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4"/>
      <w:bookmarkEnd w:id="5"/>
    </w:p>
    <w:p>
      <w:pPr>
        <w:pStyle w:val="103"/>
        <w:rPr>
          <w:i w:val="0"/>
          <w:iCs w:val="0"/>
          <w:color w:val="auto"/>
        </w:rPr>
      </w:pPr>
      <w:bookmarkStart w:id="6" w:name="_Ref118297166"/>
      <w:r>
        <w:rPr>
          <w:i w:val="0"/>
          <w:iCs w:val="0"/>
          <w:color w:val="auto"/>
        </w:rPr>
        <w:t>A garantia assegurará, qualquer que seja a modalidade escolhida, o pagamento de:</w:t>
      </w:r>
      <w:bookmarkEnd w:id="6"/>
      <w:r>
        <w:rPr>
          <w:i w:val="0"/>
          <w:iCs w:val="0"/>
          <w:color w:val="auto"/>
        </w:rPr>
        <w:t xml:space="preserve"> </w:t>
      </w:r>
    </w:p>
    <w:p>
      <w:pPr>
        <w:pStyle w:val="104"/>
        <w:rPr>
          <w:i w:val="0"/>
          <w:iCs w:val="0"/>
          <w:color w:val="auto"/>
        </w:rPr>
      </w:pPr>
      <w:r>
        <w:rPr>
          <w:i w:val="0"/>
          <w:iCs w:val="0"/>
          <w:color w:val="auto"/>
        </w:rPr>
        <w:t xml:space="preserve">prejuízos advindos do não cumprimento do objeto do contrato e do não adimplemento das demais obrigações nele previstas; </w:t>
      </w:r>
    </w:p>
    <w:p>
      <w:pPr>
        <w:pStyle w:val="104"/>
        <w:rPr>
          <w:i w:val="0"/>
          <w:iCs w:val="0"/>
          <w:color w:val="auto"/>
        </w:rPr>
      </w:pPr>
      <w:r>
        <w:rPr>
          <w:i w:val="0"/>
          <w:iCs w:val="0"/>
          <w:color w:val="auto"/>
        </w:rPr>
        <w:t xml:space="preserve">multas moratórias e punitivas aplicadas pela Administração à contratada; e  </w:t>
      </w:r>
    </w:p>
    <w:p>
      <w:pPr>
        <w:pStyle w:val="104"/>
        <w:rPr>
          <w:i w:val="0"/>
          <w:iCs w:val="0"/>
          <w:color w:val="auto"/>
        </w:rPr>
      </w:pPr>
      <w:r>
        <w:rPr>
          <w:i w:val="0"/>
          <w:iCs w:val="0"/>
          <w:color w:val="auto"/>
        </w:rPr>
        <w:t>obrigações trabalhistas e previdenciárias de qualquer natureza e para com o FGTS, não adimplidas pelo contratado, quando couber.</w:t>
      </w:r>
    </w:p>
    <w:p>
      <w:pPr>
        <w:pStyle w:val="103"/>
        <w:rPr>
          <w:i w:val="0"/>
          <w:iCs w:val="0"/>
          <w:color w:val="auto"/>
        </w:rPr>
      </w:pPr>
      <w:bookmarkStart w:id="7" w:name="_Hlk147402294"/>
      <w:r>
        <w:rPr>
          <w:i w:val="0"/>
          <w:iCs w:val="0"/>
          <w:color w:val="auto"/>
        </w:rPr>
        <w:t xml:space="preserve">A modalidade seguro-garantia somente será aceita se contemplar todos os eventos indicados no item 11.6, observada a legislação que rege a matéria. </w:t>
      </w:r>
    </w:p>
    <w:bookmarkEnd w:id="7"/>
    <w:p>
      <w:pPr>
        <w:pStyle w:val="103"/>
        <w:rPr>
          <w:i w:val="0"/>
          <w:iCs w:val="0"/>
          <w:color w:val="auto"/>
        </w:rPr>
      </w:pPr>
      <w:r>
        <w:rPr>
          <w:i w:val="0"/>
          <w:iCs w:val="0"/>
          <w:color w:val="auto"/>
        </w:rPr>
        <w:t>A garantia em dinheiro deverá ser efetuada em favor do contratante, em conta específica na Caixa Econômica Federal, com correção monetária.</w:t>
      </w:r>
    </w:p>
    <w:p>
      <w:pPr>
        <w:pStyle w:val="103"/>
        <w:rPr>
          <w:i w:val="0"/>
          <w:iCs w:val="0"/>
          <w:color w:val="auto"/>
        </w:rPr>
      </w:pPr>
      <w:r>
        <w:rPr>
          <w:i w:val="0"/>
          <w:iCs w:val="0"/>
          <w:color w:val="auto"/>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pPr>
        <w:pStyle w:val="103"/>
        <w:rPr>
          <w:i w:val="0"/>
          <w:iCs w:val="0"/>
          <w:color w:val="auto"/>
        </w:rPr>
      </w:pPr>
      <w:r>
        <w:rPr>
          <w:i w:val="0"/>
          <w:iCs w:val="0"/>
          <w:color w:val="auto"/>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r>
        <w:fldChar w:fldCharType="begin"/>
      </w:r>
      <w:r>
        <w:instrText xml:space="preserve"> HYPERLINK "https://www.planalto.gov.br/ccivil_03/leis/2002/l10406compilada.htm" \l "art827" \h </w:instrText>
      </w:r>
      <w:r>
        <w:fldChar w:fldCharType="separate"/>
      </w:r>
      <w:r>
        <w:rPr>
          <w:rStyle w:val="13"/>
          <w:i w:val="0"/>
          <w:iCs w:val="0"/>
          <w:color w:val="auto"/>
        </w:rPr>
        <w:t>artigo 827 do Código Civil.</w:t>
      </w:r>
      <w:r>
        <w:rPr>
          <w:rStyle w:val="13"/>
          <w:i w:val="0"/>
          <w:iCs w:val="0"/>
          <w:color w:val="auto"/>
        </w:rPr>
        <w:fldChar w:fldCharType="end"/>
      </w:r>
    </w:p>
    <w:p>
      <w:pPr>
        <w:pStyle w:val="103"/>
        <w:rPr>
          <w:i w:val="0"/>
          <w:iCs w:val="0"/>
          <w:color w:val="auto"/>
        </w:rPr>
      </w:pPr>
      <w:r>
        <w:rPr>
          <w:i w:val="0"/>
          <w:iCs w:val="0"/>
          <w:color w:val="auto"/>
        </w:rPr>
        <w:t xml:space="preserve">No caso de alteração do valor do contrato, ou prorrogação de sua vigência, a garantia deverá ser ajustada ou renovada, seguindo os mesmos parâmetros utilizados quando da contratação. </w:t>
      </w:r>
    </w:p>
    <w:p>
      <w:pPr>
        <w:pStyle w:val="103"/>
        <w:rPr>
          <w:i w:val="0"/>
          <w:iCs w:val="0"/>
          <w:color w:val="auto"/>
        </w:rPr>
      </w:pPr>
      <w:r>
        <w:rPr>
          <w:i w:val="0"/>
          <w:iCs w:val="0"/>
          <w:color w:val="auto"/>
        </w:rPr>
        <w:t>Se o valor da garantia for utilizado total ou parcialmente em pagamento de qualquer obrigação, o Contratado obriga-se a fazer a respectiva reposição no prazo máximo de 10 (dez) corridos, contados da data em que for notificada.</w:t>
      </w:r>
    </w:p>
    <w:p>
      <w:pPr>
        <w:pStyle w:val="103"/>
        <w:rPr>
          <w:i w:val="0"/>
          <w:iCs w:val="0"/>
          <w:color w:val="auto"/>
        </w:rPr>
      </w:pPr>
      <w:r>
        <w:rPr>
          <w:i w:val="0"/>
          <w:iCs w:val="0"/>
          <w:color w:val="auto"/>
        </w:rPr>
        <w:t>O Contratante executará a garantia na forma prevista na legislação que rege a matéria.</w:t>
      </w:r>
    </w:p>
    <w:p>
      <w:pPr>
        <w:pStyle w:val="104"/>
        <w:rPr>
          <w:i w:val="0"/>
          <w:iCs w:val="0"/>
          <w:color w:val="auto"/>
        </w:rPr>
      </w:pPr>
      <w:r>
        <w:rPr>
          <w:i w:val="0"/>
          <w:iCs w:val="0"/>
          <w:color w:val="auto"/>
        </w:rPr>
        <w:t>O emitente da garantia ofertada pelo contratado deverá ser notificado pelo contratante quanto ao início de processo administrativo para apuração de descumprimento de cláusulas contratuais (</w:t>
      </w:r>
      <w:r>
        <w:fldChar w:fldCharType="begin"/>
      </w:r>
      <w:r>
        <w:instrText xml:space="preserve"> HYPERLINK "http://www.planalto.gov.br/ccivil_03/_ato2019-2022/2021/lei/L14133.htm" \l "art137§4" \h </w:instrText>
      </w:r>
      <w:r>
        <w:fldChar w:fldCharType="separate"/>
      </w:r>
      <w:r>
        <w:rPr>
          <w:rStyle w:val="13"/>
          <w:i w:val="0"/>
          <w:iCs w:val="0"/>
          <w:color w:val="auto"/>
        </w:rPr>
        <w:t>art. 137, § 4º, da Lei n.º 14.133, de 2021</w:t>
      </w:r>
      <w:r>
        <w:rPr>
          <w:rStyle w:val="13"/>
          <w:i w:val="0"/>
          <w:iCs w:val="0"/>
          <w:color w:val="auto"/>
        </w:rPr>
        <w:fldChar w:fldCharType="end"/>
      </w:r>
      <w:r>
        <w:rPr>
          <w:i w:val="0"/>
          <w:iCs w:val="0"/>
          <w:color w:val="auto"/>
        </w:rPr>
        <w:t>).</w:t>
      </w:r>
    </w:p>
    <w:p>
      <w:pPr>
        <w:pStyle w:val="104"/>
        <w:rPr>
          <w:i w:val="0"/>
          <w:iCs w:val="0"/>
          <w:color w:val="auto"/>
        </w:rPr>
      </w:pPr>
      <w:r>
        <w:rPr>
          <w:i w:val="0"/>
          <w:iCs w:val="0"/>
          <w:color w:val="auto"/>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r>
        <w:fldChar w:fldCharType="begin"/>
      </w:r>
      <w:r>
        <w:instrText xml:space="preserve"> HYPERLINK "https://www.in.gov.br/en/web/dou/-/circular-susep-n-662-de-11-de-abril-de-2022-392772088" \l "art20" \h </w:instrText>
      </w:r>
      <w:r>
        <w:fldChar w:fldCharType="separate"/>
      </w:r>
      <w:r>
        <w:rPr>
          <w:rStyle w:val="13"/>
          <w:i w:val="0"/>
          <w:iCs w:val="0"/>
          <w:color w:val="auto"/>
        </w:rPr>
        <w:t>art. 20 da Circular Susep n° 662, de 11 de abril de 2022</w:t>
      </w:r>
      <w:r>
        <w:rPr>
          <w:rStyle w:val="13"/>
          <w:i w:val="0"/>
          <w:iCs w:val="0"/>
          <w:color w:val="auto"/>
        </w:rPr>
        <w:fldChar w:fldCharType="end"/>
      </w:r>
      <w:r>
        <w:rPr>
          <w:i w:val="0"/>
          <w:iCs w:val="0"/>
          <w:color w:val="auto"/>
        </w:rPr>
        <w:t>.</w:t>
      </w:r>
    </w:p>
    <w:p>
      <w:pPr>
        <w:pStyle w:val="103"/>
        <w:rPr>
          <w:i w:val="0"/>
          <w:iCs w:val="0"/>
          <w:color w:val="auto"/>
        </w:rPr>
      </w:pPr>
      <w:r>
        <w:rPr>
          <w:i w:val="0"/>
          <w:iCs w:val="0"/>
          <w:color w:val="auto"/>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pPr>
        <w:pStyle w:val="103"/>
        <w:rPr>
          <w:i w:val="0"/>
          <w:iCs w:val="0"/>
          <w:color w:val="auto"/>
        </w:rPr>
      </w:pPr>
      <w:r>
        <w:rPr>
          <w:i w:val="0"/>
          <w:iCs w:val="0"/>
          <w:color w:val="auto"/>
        </w:rPr>
        <w:t>A garantia somente será liberada ou restituída após a fiel execução do contrato ou após a sua extinção por culpa exclusiva da Administração e, quando em dinheiro, será atualizada monetariamente.</w:t>
      </w:r>
    </w:p>
    <w:p>
      <w:pPr>
        <w:pStyle w:val="103"/>
        <w:rPr>
          <w:i w:val="0"/>
          <w:iCs w:val="0"/>
          <w:color w:val="auto"/>
        </w:rPr>
      </w:pPr>
      <w:r>
        <w:rPr>
          <w:i w:val="0"/>
          <w:iCs w:val="0"/>
          <w:color w:val="auto"/>
        </w:rPr>
        <w:t xml:space="preserve">O garantidor não é parte para figurar em processo administrativo instaurado pelo contratante com o objetivo de apurar prejuízos e/ou aplicar sanções à contratada. </w:t>
      </w:r>
    </w:p>
    <w:p>
      <w:pPr>
        <w:pStyle w:val="103"/>
        <w:rPr>
          <w:i w:val="0"/>
          <w:iCs w:val="0"/>
          <w:color w:val="auto"/>
        </w:rPr>
      </w:pPr>
      <w:r>
        <w:rPr>
          <w:i w:val="0"/>
          <w:iCs w:val="0"/>
          <w:color w:val="auto"/>
        </w:rPr>
        <w:t>O contratado autoriza o contratante a reter, a qualquer tempo, a garantia, na forma prevista neste Contrato.</w:t>
      </w:r>
    </w:p>
    <w:p>
      <w:pPr>
        <w:pStyle w:val="103"/>
        <w:rPr>
          <w:i w:val="0"/>
          <w:iCs w:val="0"/>
          <w:color w:val="auto"/>
        </w:rPr>
      </w:pPr>
      <w:r>
        <w:rPr>
          <w:i w:val="0"/>
          <w:iCs w:val="0"/>
          <w:color w:val="auto"/>
        </w:rPr>
        <w:t>A garantia de execução é independente de eventual garantia do produto ou serviço prevista especificamente no Termo de Referência.</w:t>
      </w:r>
    </w:p>
    <w:p>
      <w:pPr>
        <w:pStyle w:val="39"/>
        <w:rPr>
          <w:color w:val="FFFFFF" w:themeColor="background1"/>
          <w14:textFill>
            <w14:solidFill>
              <w14:schemeClr w14:val="bg1"/>
            </w14:solidFill>
          </w14:textFill>
        </w:rPr>
      </w:pPr>
      <w:r>
        <w:t>CLÁUSULA DÉCIMA SEGUNDA – INFRAÇÕES E SANÇÕES ADMINISTRATIVAS (</w:t>
      </w:r>
      <w:r>
        <w:fldChar w:fldCharType="begin"/>
      </w:r>
      <w:r>
        <w:instrText xml:space="preserve"> HYPERLINK "http://www.planalto.gov.br/ccivil_03/_ato2019-2022/2021/lei/L14133.htm" \l "art92" </w:instrText>
      </w:r>
      <w:r>
        <w:fldChar w:fldCharType="separate"/>
      </w:r>
      <w:r>
        <w:rPr>
          <w:rStyle w:val="13"/>
        </w:rPr>
        <w:t>art. 92, XIV</w:t>
      </w:r>
      <w:r>
        <w:rPr>
          <w:rStyle w:val="13"/>
        </w:rPr>
        <w:fldChar w:fldCharType="end"/>
      </w:r>
      <w:r>
        <w:t>)</w:t>
      </w:r>
    </w:p>
    <w:p>
      <w:pPr>
        <w:pStyle w:val="56"/>
      </w:pPr>
      <w:r>
        <w:t xml:space="preserve">Comete infração administrativa, nos termos da </w:t>
      </w:r>
      <w:r>
        <w:fldChar w:fldCharType="begin"/>
      </w:r>
      <w:r>
        <w:instrText xml:space="preserve"> HYPERLINK "http://www.planalto.gov.br/ccivil_03/_ato2019-2022/2021/lei/L14133.htm" </w:instrText>
      </w:r>
      <w:r>
        <w:fldChar w:fldCharType="separate"/>
      </w:r>
      <w:r>
        <w:rPr>
          <w:rStyle w:val="13"/>
        </w:rPr>
        <w:t>Lei nº 14.133, de 2021</w:t>
      </w:r>
      <w:r>
        <w:rPr>
          <w:rStyle w:val="13"/>
        </w:rPr>
        <w:fldChar w:fldCharType="end"/>
      </w:r>
      <w:r>
        <w:t>, o contratado que:</w:t>
      </w:r>
    </w:p>
    <w:p>
      <w:pPr>
        <w:numPr>
          <w:ilvl w:val="2"/>
          <w:numId w:val="6"/>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der causa à inexecução parcial do contrato;</w:t>
      </w:r>
    </w:p>
    <w:p>
      <w:pPr>
        <w:numPr>
          <w:ilvl w:val="2"/>
          <w:numId w:val="6"/>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der causa à inexecução parcial do contrato que cause grave dano à Administração ou ao funcionamento dos serviços públicos ou ao interesse coletivo;</w:t>
      </w:r>
    </w:p>
    <w:p>
      <w:pPr>
        <w:numPr>
          <w:ilvl w:val="2"/>
          <w:numId w:val="6"/>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der causa à inexecução total do contrato;</w:t>
      </w:r>
    </w:p>
    <w:p>
      <w:pPr>
        <w:numPr>
          <w:ilvl w:val="2"/>
          <w:numId w:val="6"/>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ensejar o retardamento da execução ou da entrega do objeto da contratação sem motivo justificado;</w:t>
      </w:r>
    </w:p>
    <w:p>
      <w:pPr>
        <w:numPr>
          <w:ilvl w:val="2"/>
          <w:numId w:val="6"/>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apresentar documentação falsa ou prestar declaração falsa durante a execução do contrato;</w:t>
      </w:r>
    </w:p>
    <w:p>
      <w:pPr>
        <w:numPr>
          <w:ilvl w:val="2"/>
          <w:numId w:val="6"/>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praticar ato fraudulento na execução do contrato;</w:t>
      </w:r>
    </w:p>
    <w:p>
      <w:pPr>
        <w:numPr>
          <w:ilvl w:val="2"/>
          <w:numId w:val="6"/>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comportar-se de modo inidôneo ou cometer fraude de qualquer natureza;</w:t>
      </w:r>
    </w:p>
    <w:p>
      <w:pPr>
        <w:numPr>
          <w:ilvl w:val="2"/>
          <w:numId w:val="6"/>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praticar ato lesivo previsto no art. 5º da Lei nº 12.846, de 1º de agosto de 2013.</w:t>
      </w:r>
    </w:p>
    <w:p>
      <w:pPr>
        <w:pStyle w:val="56"/>
      </w:pPr>
      <w:r>
        <w:t>Serão aplicadas ao contratado que incorrer nas infrações acima descritas as seguintes sanções:</w:t>
      </w:r>
    </w:p>
    <w:p>
      <w:pPr>
        <w:numPr>
          <w:ilvl w:val="2"/>
          <w:numId w:val="7"/>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b/>
          <w:bCs/>
          <w:sz w:val="20"/>
          <w:szCs w:val="20"/>
        </w:rPr>
        <w:t>Advertência</w:t>
      </w:r>
      <w:r>
        <w:rPr>
          <w:rFonts w:ascii="Arial" w:hAnsi="Arial" w:eastAsia="Arial" w:cs="Arial"/>
          <w:sz w:val="20"/>
          <w:szCs w:val="20"/>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"art156§2" </w:instrText>
      </w:r>
      <w:r>
        <w:fldChar w:fldCharType="separate"/>
      </w:r>
      <w:r>
        <w:rPr>
          <w:rStyle w:val="13"/>
          <w:rFonts w:ascii="Arial" w:hAnsi="Arial" w:eastAsia="Arial" w:cs="Arial"/>
          <w:sz w:val="20"/>
          <w:szCs w:val="20"/>
        </w:rPr>
        <w:t xml:space="preserve">art. 156, §2º, da </w:t>
      </w:r>
      <w:bookmarkStart w:id="8" w:name="_Hlk114504069"/>
      <w:r>
        <w:rPr>
          <w:rStyle w:val="13"/>
          <w:rFonts w:ascii="Arial" w:hAnsi="Arial" w:eastAsia="Arial" w:cs="Arial"/>
          <w:sz w:val="20"/>
          <w:szCs w:val="20"/>
        </w:rPr>
        <w:t>Lei nº 14.133, de 2021</w:t>
      </w:r>
      <w:bookmarkEnd w:id="8"/>
      <w:r>
        <w:rPr>
          <w:rStyle w:val="13"/>
          <w:rFonts w:ascii="Arial" w:hAnsi="Arial" w:eastAsia="Arial" w:cs="Arial"/>
          <w:sz w:val="20"/>
          <w:szCs w:val="20"/>
        </w:rPr>
        <w:fldChar w:fldCharType="end"/>
      </w:r>
      <w:r>
        <w:rPr>
          <w:rFonts w:ascii="Arial" w:hAnsi="Arial" w:eastAsia="Arial" w:cs="Arial"/>
          <w:sz w:val="20"/>
          <w:szCs w:val="20"/>
        </w:rPr>
        <w:t>);</w:t>
      </w:r>
    </w:p>
    <w:p>
      <w:pPr>
        <w:numPr>
          <w:ilvl w:val="2"/>
          <w:numId w:val="7"/>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b/>
          <w:bCs/>
          <w:sz w:val="20"/>
          <w:szCs w:val="20"/>
        </w:rPr>
        <w:t>Impedimento de licitar e contratar</w:t>
      </w:r>
      <w:r>
        <w:rPr>
          <w:rFonts w:ascii="Arial" w:hAnsi="Arial" w:eastAsia="Arial" w:cs="Arial"/>
          <w:sz w:val="20"/>
          <w:szCs w:val="20"/>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"art156§4" </w:instrText>
      </w:r>
      <w:r>
        <w:fldChar w:fldCharType="separate"/>
      </w:r>
      <w:r>
        <w:rPr>
          <w:rStyle w:val="13"/>
          <w:rFonts w:ascii="Arial" w:hAnsi="Arial" w:eastAsia="Arial" w:cs="Arial"/>
          <w:sz w:val="20"/>
          <w:szCs w:val="20"/>
        </w:rPr>
        <w:t>art. 156, § 4º, da Lei nº 14.133, de 2021</w:t>
      </w:r>
      <w:r>
        <w:rPr>
          <w:rStyle w:val="13"/>
          <w:rFonts w:ascii="Arial" w:hAnsi="Arial" w:eastAsia="Arial" w:cs="Arial"/>
          <w:sz w:val="20"/>
          <w:szCs w:val="20"/>
        </w:rPr>
        <w:fldChar w:fldCharType="end"/>
      </w:r>
      <w:r>
        <w:rPr>
          <w:rFonts w:ascii="Arial" w:hAnsi="Arial" w:eastAsia="Arial" w:cs="Arial"/>
          <w:sz w:val="20"/>
          <w:szCs w:val="20"/>
        </w:rPr>
        <w:t>);</w:t>
      </w:r>
    </w:p>
    <w:p>
      <w:pPr>
        <w:numPr>
          <w:ilvl w:val="2"/>
          <w:numId w:val="7"/>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b/>
          <w:bCs/>
          <w:sz w:val="20"/>
          <w:szCs w:val="20"/>
        </w:rPr>
        <w:t>Declaração de inidoneidade para licitar e contratar</w:t>
      </w:r>
      <w:r>
        <w:rPr>
          <w:rFonts w:ascii="Arial" w:hAnsi="Arial" w:eastAsia="Arial" w:cs="Arial"/>
          <w:sz w:val="20"/>
          <w:szCs w:val="20"/>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"art156§5" </w:instrText>
      </w:r>
      <w:r>
        <w:fldChar w:fldCharType="separate"/>
      </w:r>
      <w:r>
        <w:rPr>
          <w:rStyle w:val="13"/>
          <w:rFonts w:ascii="Arial" w:hAnsi="Arial" w:eastAsia="Arial" w:cs="Arial"/>
          <w:sz w:val="20"/>
          <w:szCs w:val="20"/>
        </w:rPr>
        <w:t>art. 156, §5º, da Lei nº 14.133, de 2021</w:t>
      </w:r>
      <w:r>
        <w:rPr>
          <w:rStyle w:val="13"/>
          <w:rFonts w:ascii="Arial" w:hAnsi="Arial" w:eastAsia="Arial" w:cs="Arial"/>
          <w:sz w:val="20"/>
          <w:szCs w:val="20"/>
        </w:rPr>
        <w:fldChar w:fldCharType="end"/>
      </w:r>
      <w:r>
        <w:rPr>
          <w:rFonts w:ascii="Arial" w:hAnsi="Arial" w:eastAsia="Arial" w:cs="Arial"/>
          <w:sz w:val="20"/>
          <w:szCs w:val="20"/>
        </w:rPr>
        <w:t>).</w:t>
      </w:r>
    </w:p>
    <w:p>
      <w:pPr>
        <w:numPr>
          <w:ilvl w:val="2"/>
          <w:numId w:val="7"/>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b/>
          <w:bCs/>
          <w:sz w:val="20"/>
          <w:szCs w:val="20"/>
        </w:rPr>
        <w:t>Multa:</w:t>
      </w:r>
    </w:p>
    <w:p>
      <w:pPr>
        <w:numPr>
          <w:ilvl w:val="3"/>
          <w:numId w:val="7"/>
        </w:numPr>
        <w:suppressAutoHyphens/>
        <w:spacing w:before="120" w:after="120" w:line="276" w:lineRule="auto"/>
        <w:ind w:left="567" w:firstLine="0"/>
        <w:contextualSpacing/>
        <w:jc w:val="both"/>
        <w:rPr>
          <w:rFonts w:ascii="Arial" w:hAnsi="Arial" w:eastAsia="Arial" w:cs="Arial"/>
          <w:sz w:val="20"/>
          <w:szCs w:val="20"/>
        </w:rPr>
      </w:pPr>
      <w:r>
        <w:rPr>
          <w:rFonts w:ascii="Arial" w:hAnsi="Arial" w:eastAsia="Arial" w:cs="Arial"/>
          <w:sz w:val="20"/>
          <w:szCs w:val="20"/>
        </w:rPr>
        <w:t>Moratória de 0,5% (cinco décimos por cento) por dia de atraso injustificado sobre o valor da parcela inadimplida, até o limite de 05 (cinco) dias;</w:t>
      </w:r>
    </w:p>
    <w:p>
      <w:pPr>
        <w:numPr>
          <w:ilvl w:val="3"/>
          <w:numId w:val="7"/>
        </w:numPr>
        <w:suppressAutoHyphens/>
        <w:spacing w:before="120" w:after="120" w:line="276" w:lineRule="auto"/>
        <w:ind w:left="567" w:firstLine="0"/>
        <w:contextualSpacing/>
        <w:jc w:val="both"/>
        <w:rPr>
          <w:rFonts w:ascii="Arial" w:hAnsi="Arial" w:eastAsia="Arial" w:cs="Arial"/>
          <w:sz w:val="20"/>
          <w:szCs w:val="20"/>
        </w:rPr>
      </w:pPr>
      <w:r>
        <w:rPr>
          <w:rFonts w:ascii="Arial" w:hAnsi="Arial" w:eastAsia="Arial" w:cs="Arial"/>
          <w:sz w:val="20"/>
          <w:szCs w:val="20"/>
        </w:rPr>
        <w:t xml:space="preserve"> Compensatória, para as infrações descritas nas alíneas “e” a “h” do subitem 12.1, de 20% a 30% do valor do Contrato.</w:t>
      </w:r>
    </w:p>
    <w:p>
      <w:pPr>
        <w:numPr>
          <w:ilvl w:val="3"/>
          <w:numId w:val="7"/>
        </w:numPr>
        <w:suppressAutoHyphens/>
        <w:spacing w:before="120" w:after="120" w:line="276" w:lineRule="auto"/>
        <w:ind w:left="567" w:firstLine="0"/>
        <w:contextualSpacing/>
        <w:jc w:val="both"/>
        <w:rPr>
          <w:rFonts w:ascii="Arial" w:hAnsi="Arial" w:eastAsia="Arial" w:cs="Arial"/>
          <w:sz w:val="20"/>
          <w:szCs w:val="20"/>
        </w:rPr>
      </w:pPr>
      <w:r>
        <w:rPr>
          <w:rFonts w:ascii="Arial" w:hAnsi="Arial" w:eastAsia="Arial" w:cs="Arial"/>
          <w:sz w:val="20"/>
          <w:szCs w:val="20"/>
        </w:rPr>
        <w:t xml:space="preserve">Compensatória, para a inexecução total do contrato prevista na alínea “c” do subitem 12.1, de 20% a 30% do valor do Contrato. </w:t>
      </w:r>
    </w:p>
    <w:p>
      <w:pPr>
        <w:numPr>
          <w:ilvl w:val="3"/>
          <w:numId w:val="7"/>
        </w:numPr>
        <w:suppressAutoHyphens/>
        <w:spacing w:before="120" w:after="120" w:line="276" w:lineRule="auto"/>
        <w:ind w:left="567" w:firstLine="0"/>
        <w:contextualSpacing/>
        <w:jc w:val="both"/>
        <w:rPr>
          <w:rFonts w:ascii="Arial" w:hAnsi="Arial" w:eastAsia="Arial" w:cs="Arial"/>
          <w:sz w:val="20"/>
          <w:szCs w:val="20"/>
        </w:rPr>
      </w:pPr>
      <w:r>
        <w:rPr>
          <w:rFonts w:ascii="Arial" w:hAnsi="Arial" w:eastAsia="Arial" w:cs="Arial"/>
          <w:sz w:val="20"/>
          <w:szCs w:val="20"/>
        </w:rPr>
        <w:t>Para infração descrita na alínea “b” do subitem 12.1, a multa será de 10% a 19% do valor do Contrato.</w:t>
      </w:r>
    </w:p>
    <w:p>
      <w:pPr>
        <w:numPr>
          <w:ilvl w:val="3"/>
          <w:numId w:val="7"/>
        </w:numPr>
        <w:suppressAutoHyphens/>
        <w:spacing w:before="120" w:after="120" w:line="276" w:lineRule="auto"/>
        <w:ind w:left="567" w:firstLine="0"/>
        <w:contextualSpacing/>
        <w:jc w:val="both"/>
        <w:rPr>
          <w:rFonts w:ascii="Arial" w:hAnsi="Arial" w:eastAsia="Arial" w:cs="Arial"/>
          <w:sz w:val="20"/>
          <w:szCs w:val="20"/>
        </w:rPr>
      </w:pPr>
      <w:r>
        <w:rPr>
          <w:rFonts w:ascii="Arial" w:hAnsi="Arial" w:eastAsia="Arial" w:cs="Arial"/>
          <w:sz w:val="20"/>
          <w:szCs w:val="20"/>
        </w:rPr>
        <w:t>Para infrações descritas na alínea “d” do subitem 12.1, a multa será de 5% a 9% do valor do Contrato.</w:t>
      </w:r>
    </w:p>
    <w:p>
      <w:pPr>
        <w:numPr>
          <w:ilvl w:val="3"/>
          <w:numId w:val="7"/>
        </w:numPr>
        <w:suppressAutoHyphens/>
        <w:spacing w:before="120" w:after="120" w:line="276" w:lineRule="auto"/>
        <w:ind w:left="567" w:firstLine="0"/>
        <w:contextualSpacing/>
        <w:jc w:val="both"/>
        <w:rPr>
          <w:rFonts w:ascii="Arial" w:hAnsi="Arial" w:eastAsia="Arial" w:cs="Arial"/>
          <w:sz w:val="20"/>
          <w:szCs w:val="20"/>
        </w:rPr>
      </w:pPr>
      <w:r>
        <w:rPr>
          <w:rFonts w:ascii="Arial" w:hAnsi="Arial" w:eastAsia="Arial" w:cs="Arial"/>
          <w:sz w:val="20"/>
          <w:szCs w:val="20"/>
        </w:rPr>
        <w:t>Para a infração descrita na alínea “a” do subitem 12.1, a multa será de 2% a 5% do valor do Contrato, ressalvadas as seguintes infrações:</w:t>
      </w:r>
    </w:p>
    <w:p>
      <w:pPr>
        <w:pStyle w:val="56"/>
      </w:pPr>
      <w: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3"/>
        </w:rPr>
        <w:t>art. 156, §9º, da Lei nº 14.133, de 2021</w:t>
      </w:r>
      <w:r>
        <w:rPr>
          <w:rStyle w:val="13"/>
        </w:rPr>
        <w:fldChar w:fldCharType="end"/>
      </w:r>
      <w:r>
        <w:t>)</w:t>
      </w:r>
    </w:p>
    <w:p>
      <w:pPr>
        <w:pStyle w:val="56"/>
      </w:pPr>
      <w:r>
        <w:t>Todas as sanções previstas neste Contrato poderão ser aplicadas cumulativamente com a multa (</w:t>
      </w:r>
      <w:r>
        <w:fldChar w:fldCharType="begin"/>
      </w:r>
      <w:r>
        <w:instrText xml:space="preserve"> HYPERLINK "http://www.planalto.gov.br/ccivil_03/_ato2019-2022/2021/lei/L14133.htm" \l "art156§7" </w:instrText>
      </w:r>
      <w:r>
        <w:fldChar w:fldCharType="separate"/>
      </w:r>
      <w:r>
        <w:rPr>
          <w:rStyle w:val="13"/>
        </w:rPr>
        <w:t>art. 156, §7º, da Lei nº 14.133, de 2021</w:t>
      </w:r>
      <w:r>
        <w:rPr>
          <w:rStyle w:val="13"/>
        </w:rPr>
        <w:fldChar w:fldCharType="end"/>
      </w:r>
      <w:r>
        <w:t>).</w:t>
      </w:r>
    </w:p>
    <w:p>
      <w:pPr>
        <w:pStyle w:val="58"/>
      </w:pPr>
      <w: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3"/>
        </w:rPr>
        <w:t>art. 157, da Lei nº 14.133, de 2021</w:t>
      </w:r>
      <w:r>
        <w:rPr>
          <w:rStyle w:val="13"/>
        </w:rPr>
        <w:fldChar w:fldCharType="end"/>
      </w:r>
      <w:r>
        <w:t>)</w:t>
      </w:r>
    </w:p>
    <w:p>
      <w:pPr>
        <w:pStyle w:val="56"/>
      </w:pPr>
      <w: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"art156§8" </w:instrText>
      </w:r>
      <w:r>
        <w:fldChar w:fldCharType="separate"/>
      </w:r>
      <w:r>
        <w:rPr>
          <w:rStyle w:val="13"/>
        </w:rPr>
        <w:t>art. 156, §8º, da Lei nº 14.133, de 2021</w:t>
      </w:r>
      <w:r>
        <w:rPr>
          <w:rStyle w:val="13"/>
        </w:rPr>
        <w:fldChar w:fldCharType="end"/>
      </w:r>
      <w:r>
        <w:t>).</w:t>
      </w:r>
    </w:p>
    <w:p>
      <w:pPr>
        <w:pStyle w:val="56"/>
      </w:pPr>
      <w:r>
        <w:t xml:space="preserve">Previamente ao encaminhamento à cobrança judicial, a multa poderá ser recolhida administrativamente no prazo máximo de </w:t>
      </w:r>
      <w:r>
        <w:rPr>
          <w:color w:val="auto"/>
        </w:rPr>
        <w:t>30 (trinta)</w:t>
      </w:r>
      <w:r>
        <w:rPr>
          <w:i/>
          <w:iCs/>
          <w:color w:val="auto"/>
        </w:rPr>
        <w:t xml:space="preserve"> </w:t>
      </w:r>
      <w:r>
        <w:t>dias, a contar da data do recebimento da comunicação enviada pela autoridade competente.</w:t>
      </w:r>
      <w:bookmarkStart w:id="9" w:name="_Hlk78351618"/>
      <w:bookmarkEnd w:id="9"/>
    </w:p>
    <w:p>
      <w:pPr>
        <w:pStyle w:val="56"/>
      </w:pPr>
      <w:r>
        <w:t xml:space="preserve">A aplicação das sanções realizar-se-á em processo administrativo que assegure o contraditório e a ampla defesa ao Contratado, observando-se o procedimento previsto no </w:t>
      </w:r>
      <w:r>
        <w:rPr>
          <w:b/>
          <w:bCs/>
        </w:rPr>
        <w:t xml:space="preserve">caput </w:t>
      </w:r>
      <w:r>
        <w:t xml:space="preserve">e parágrafos do </w:t>
      </w:r>
      <w:r>
        <w:fldChar w:fldCharType="begin"/>
      </w:r>
      <w:r>
        <w:instrText xml:space="preserve"> HYPERLINK "http://www.planalto.gov.br/ccivil_03/_ato2019-2022/2021/lei/L14133.htm" \l "art158" </w:instrText>
      </w:r>
      <w:r>
        <w:fldChar w:fldCharType="separate"/>
      </w:r>
      <w:r>
        <w:rPr>
          <w:rStyle w:val="13"/>
        </w:rPr>
        <w:t>art. 158 da Lei nº 14.133, de 2021</w:t>
      </w:r>
      <w:r>
        <w:rPr>
          <w:rStyle w:val="13"/>
        </w:rPr>
        <w:fldChar w:fldCharType="end"/>
      </w:r>
      <w:r>
        <w:t>, para as penalidades de impedimento de licitar e contratar e de declaração de inidoneidade para licitar ou contratar.</w:t>
      </w:r>
    </w:p>
    <w:p>
      <w:pPr>
        <w:pStyle w:val="56"/>
      </w:pPr>
      <w:r>
        <w:t>Na aplicação das sanções serão considerados (</w:t>
      </w:r>
      <w:r>
        <w:fldChar w:fldCharType="begin"/>
      </w:r>
      <w:r>
        <w:instrText xml:space="preserve"> HYPERLINK "http://www.planalto.gov.br/ccivil_03/_ato2019-2022/2021/lei/L14133.htm" \l "art156§1" </w:instrText>
      </w:r>
      <w:r>
        <w:fldChar w:fldCharType="separate"/>
      </w:r>
      <w:r>
        <w:rPr>
          <w:rStyle w:val="13"/>
        </w:rPr>
        <w:t>art. 156, §1º, da Lei nº 14.133, de 2021</w:t>
      </w:r>
      <w:r>
        <w:rPr>
          <w:rStyle w:val="13"/>
        </w:rPr>
        <w:fldChar w:fldCharType="end"/>
      </w:r>
      <w:r>
        <w:t>):</w:t>
      </w:r>
    </w:p>
    <w:p>
      <w:pPr>
        <w:numPr>
          <w:ilvl w:val="0"/>
          <w:numId w:val="8"/>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a natureza e a gravidade da infração cometida;</w:t>
      </w:r>
    </w:p>
    <w:p>
      <w:pPr>
        <w:numPr>
          <w:ilvl w:val="0"/>
          <w:numId w:val="8"/>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as peculiaridades do caso concreto;</w:t>
      </w:r>
    </w:p>
    <w:p>
      <w:pPr>
        <w:numPr>
          <w:ilvl w:val="0"/>
          <w:numId w:val="8"/>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as circunstâncias agravantes ou atenuantes;</w:t>
      </w:r>
    </w:p>
    <w:p>
      <w:pPr>
        <w:numPr>
          <w:ilvl w:val="0"/>
          <w:numId w:val="8"/>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os danos que dela provierem para o Contratante;</w:t>
      </w:r>
    </w:p>
    <w:p>
      <w:pPr>
        <w:numPr>
          <w:ilvl w:val="0"/>
          <w:numId w:val="8"/>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a implantação ou o aperfeiçoamento de programa de integridade, conforme normas e orientações dos órgãos de controle.</w:t>
      </w:r>
    </w:p>
    <w:p>
      <w:pPr>
        <w:pStyle w:val="56"/>
      </w:pPr>
      <w:r>
        <w:t xml:space="preserve">Os atos previstos como infrações administrativas na </w:t>
      </w:r>
      <w:r>
        <w:fldChar w:fldCharType="begin"/>
      </w:r>
      <w:r>
        <w:instrText xml:space="preserve"> HYPERLINK "http://www.planalto.gov.br/ccivil_03/_ato2019-2022/2021/lei/L14133.htm" </w:instrText>
      </w:r>
      <w:r>
        <w:fldChar w:fldCharType="separate"/>
      </w:r>
      <w:r>
        <w:rPr>
          <w:rStyle w:val="13"/>
        </w:rPr>
        <w:t>Lei nº 14.133, de 2021</w:t>
      </w:r>
      <w:r>
        <w:rPr>
          <w:rStyle w:val="13"/>
        </w:rPr>
        <w:fldChar w:fldCharType="end"/>
      </w:r>
      <w:r>
        <w:t xml:space="preserve">, ou em outras leis de licitações e contratos da Administração Pública que também sejam tipificados como atos lesivos </w:t>
      </w:r>
      <w:r>
        <w:fldChar w:fldCharType="begin"/>
      </w:r>
      <w:r>
        <w:instrText xml:space="preserve"> HYPERLINK "https://www.planalto.gov.br/ccivil_03/_ato2011-2014/2013/lei/l12846.htm" </w:instrText>
      </w:r>
      <w:r>
        <w:fldChar w:fldCharType="separate"/>
      </w:r>
      <w:r>
        <w:rPr>
          <w:rStyle w:val="13"/>
        </w:rPr>
        <w:t>na Lei nº 12.846, de 2013</w:t>
      </w:r>
      <w:r>
        <w:rPr>
          <w:rStyle w:val="13"/>
        </w:rPr>
        <w:fldChar w:fldCharType="end"/>
      </w:r>
      <w:r>
        <w:t xml:space="preserve">, serão apurados e julgados conjuntamente, nos mesmos autos, observados o rito procedimental e autoridade competente definidos na referida </w:t>
      </w:r>
      <w:r>
        <w:fldChar w:fldCharType="begin"/>
      </w:r>
      <w:r>
        <w:instrText xml:space="preserve"> HYPERLINK "http://www.planalto.gov.br/ccivil_03/_ato2019-2022/2021/lei/L14133.htm" \l "art159" </w:instrText>
      </w:r>
      <w:r>
        <w:fldChar w:fldCharType="separate"/>
      </w:r>
      <w:r>
        <w:rPr>
          <w:rStyle w:val="13"/>
        </w:rPr>
        <w:t>Lei (art. 159</w:t>
      </w:r>
      <w:r>
        <w:rPr>
          <w:rStyle w:val="13"/>
        </w:rPr>
        <w:fldChar w:fldCharType="end"/>
      </w:r>
      <w:r>
        <w:t>).</w:t>
      </w:r>
    </w:p>
    <w:p>
      <w:pPr>
        <w:pStyle w:val="56"/>
        <w:rPr>
          <w:i/>
          <w:iCs/>
        </w:rPr>
      </w:pPr>
      <w: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3"/>
        </w:rPr>
        <w:t>art. 160, da Lei nº 14.133, de 2021</w:t>
      </w:r>
      <w:r>
        <w:rPr>
          <w:rStyle w:val="13"/>
        </w:rPr>
        <w:fldChar w:fldCharType="end"/>
      </w:r>
      <w:r>
        <w:t>)</w:t>
      </w:r>
    </w:p>
    <w:p>
      <w:pPr>
        <w:pStyle w:val="56"/>
        <w:rPr>
          <w:i/>
          <w:iCs/>
        </w:rPr>
      </w:pPr>
      <w:r>
        <w:t xml:space="preserve"> O Contratante deverá, no prazo máximo </w:t>
      </w:r>
      <w:r>
        <w:rPr>
          <w:color w:val="auto"/>
        </w:rPr>
        <w:t>de</w:t>
      </w:r>
      <w:r>
        <w:rPr>
          <w:color w:val="00B050"/>
        </w:rPr>
        <w:t xml:space="preserve"> </w:t>
      </w:r>
      <w:r>
        <w:t>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Style w:val="13"/>
        </w:rPr>
        <w:t>Art. 161, da Lei nº 14.133, de 2021</w:t>
      </w:r>
      <w:r>
        <w:rPr>
          <w:rStyle w:val="13"/>
        </w:rPr>
        <w:fldChar w:fldCharType="end"/>
      </w:r>
      <w:r>
        <w:t>)</w:t>
      </w:r>
    </w:p>
    <w:p>
      <w:pPr>
        <w:pStyle w:val="56"/>
        <w:rPr>
          <w:i/>
          <w:iCs/>
        </w:rPr>
      </w:pPr>
      <w: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"art163" </w:instrText>
      </w:r>
      <w:r>
        <w:fldChar w:fldCharType="separate"/>
      </w:r>
      <w:r>
        <w:rPr>
          <w:rStyle w:val="13"/>
        </w:rPr>
        <w:t>art. 163 da Lei nº 14.133/21.</w:t>
      </w:r>
      <w:r>
        <w:rPr>
          <w:rStyle w:val="13"/>
        </w:rPr>
        <w:fldChar w:fldCharType="end"/>
      </w:r>
    </w:p>
    <w:p>
      <w:pPr>
        <w:pStyle w:val="56"/>
      </w:pPr>
      <w: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fldChar w:fldCharType="begin"/>
      </w:r>
      <w:r>
        <w:instrText xml:space="preserve"> HYPERLINK "https://www.gov.br/compras/pt-br/acesso-a-informacao/legislacao/instrucoes-normativas/instrucao-normativa-seges-me-no-26-de-13-de-abril-de-2022" </w:instrText>
      </w:r>
      <w:r>
        <w:fldChar w:fldCharType="separate"/>
      </w:r>
      <w:r>
        <w:rPr>
          <w:rStyle w:val="13"/>
        </w:rPr>
        <w:t>Instrução Normativa SEGES/ME nº 26, de 13 de abril de 2022</w:t>
      </w:r>
      <w:r>
        <w:rPr>
          <w:rStyle w:val="13"/>
        </w:rPr>
        <w:fldChar w:fldCharType="end"/>
      </w:r>
      <w:r>
        <w:t xml:space="preserve">. </w:t>
      </w:r>
    </w:p>
    <w:p>
      <w:pPr>
        <w:pStyle w:val="39"/>
        <w:rPr>
          <w:color w:val="FFFFFF" w:themeColor="background1"/>
          <w14:textFill>
            <w14:solidFill>
              <w14:schemeClr w14:val="bg1"/>
            </w14:solidFill>
          </w14:textFill>
        </w:rPr>
      </w:pPr>
      <w:r>
        <w:t>CLÁUSULA DÉCIMA TERCEIRA – DA EXTINÇÃO CONTRATUAL (</w:t>
      </w:r>
      <w:r>
        <w:fldChar w:fldCharType="begin"/>
      </w:r>
      <w:r>
        <w:instrText xml:space="preserve"> HYPERLINK "http://www.planalto.gov.br/ccivil_03/_ato2019-2022/2021/lei/L14133.htm" \l "art92" </w:instrText>
      </w:r>
      <w:r>
        <w:fldChar w:fldCharType="separate"/>
      </w:r>
      <w:r>
        <w:rPr>
          <w:rStyle w:val="13"/>
        </w:rPr>
        <w:t>art. 92, XIX</w:t>
      </w:r>
      <w:r>
        <w:rPr>
          <w:rStyle w:val="13"/>
        </w:rPr>
        <w:fldChar w:fldCharType="end"/>
      </w:r>
      <w:r>
        <w:t>)</w:t>
      </w:r>
    </w:p>
    <w:p>
      <w:pPr>
        <w:pStyle w:val="103"/>
        <w:rPr>
          <w:i w:val="0"/>
          <w:iCs w:val="0"/>
          <w:color w:val="auto"/>
        </w:rPr>
      </w:pPr>
      <w:r>
        <w:rPr>
          <w:i w:val="0"/>
          <w:iCs w:val="0"/>
          <w:color w:val="auto"/>
        </w:rPr>
        <w:t>O contrato será extinto quando cumpridas as obrigações de ambas as partes, ainda que isso ocorra antes do prazo estipulado para tanto.</w:t>
      </w:r>
    </w:p>
    <w:p>
      <w:pPr>
        <w:pStyle w:val="103"/>
        <w:rPr>
          <w:i w:val="0"/>
          <w:iCs w:val="0"/>
          <w:color w:val="auto"/>
        </w:rPr>
      </w:pPr>
      <w:r>
        <w:rPr>
          <w:i w:val="0"/>
          <w:iCs w:val="0"/>
          <w:color w:val="auto"/>
        </w:rPr>
        <w:t>Se as obrigações não forem cumpridas no prazo estipulado, a vigência ficará prorrogada até a conclusão do objeto, caso em que deverá a Administração providenciar a readequação do cronograma fixado para o contrato.</w:t>
      </w:r>
    </w:p>
    <w:p>
      <w:pPr>
        <w:pStyle w:val="103"/>
        <w:rPr>
          <w:i w:val="0"/>
          <w:iCs w:val="0"/>
          <w:color w:val="auto"/>
        </w:rPr>
      </w:pPr>
      <w:r>
        <w:rPr>
          <w:i w:val="0"/>
          <w:iCs w:val="0"/>
          <w:color w:val="auto"/>
        </w:rPr>
        <w:t>Quando a não conclusão do contrato referida no item anterior decorrer de culpa do contratado:</w:t>
      </w:r>
    </w:p>
    <w:p>
      <w:pPr>
        <w:pStyle w:val="24"/>
        <w:numPr>
          <w:ilvl w:val="0"/>
          <w:numId w:val="9"/>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 xml:space="preserve">ficará ele constituído em mora, sendo-lhe aplicáveis as respectivas sanções administrativas; e  </w:t>
      </w:r>
    </w:p>
    <w:p>
      <w:pPr>
        <w:pStyle w:val="24"/>
        <w:numPr>
          <w:ilvl w:val="0"/>
          <w:numId w:val="9"/>
        </w:numPr>
        <w:suppressAutoHyphens/>
        <w:spacing w:before="120" w:after="120" w:line="276" w:lineRule="auto"/>
        <w:ind w:left="284" w:firstLine="0"/>
        <w:jc w:val="both"/>
        <w:rPr>
          <w:rFonts w:ascii="Arial" w:hAnsi="Arial" w:eastAsia="Arial" w:cs="Arial"/>
          <w:sz w:val="20"/>
          <w:szCs w:val="20"/>
        </w:rPr>
      </w:pPr>
      <w:r>
        <w:rPr>
          <w:rFonts w:ascii="Arial" w:hAnsi="Arial" w:eastAsia="Arial" w:cs="Arial"/>
          <w:sz w:val="20"/>
          <w:szCs w:val="20"/>
        </w:rPr>
        <w:t>poderá a Administração optar pela extinção do contrato e, nesse caso, adotará as medidas admitidas em lei para a continuidade da execução contratual</w:t>
      </w:r>
    </w:p>
    <w:p>
      <w:pPr>
        <w:pStyle w:val="56"/>
      </w:pPr>
      <w:r>
        <w:t xml:space="preserve">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Style w:val="13"/>
        </w:rPr>
        <w:t>artigo 137 da Lei nº 14.133/21</w:t>
      </w:r>
      <w:r>
        <w:rPr>
          <w:rStyle w:val="13"/>
        </w:rPr>
        <w:fldChar w:fldCharType="end"/>
      </w:r>
      <w:r>
        <w:t xml:space="preserve">, bem como amigavelmente, </w:t>
      </w:r>
      <w:r>
        <w:rPr>
          <w:color w:val="000000" w:themeColor="text1"/>
          <w14:textFill>
            <w14:solidFill>
              <w14:schemeClr w14:val="tx1"/>
            </w14:solidFill>
          </w14:textFill>
        </w:rPr>
        <w:t>assegurados o contraditório e a ampla defesa</w:t>
      </w:r>
      <w:r>
        <w:t>.</w:t>
      </w:r>
    </w:p>
    <w:p>
      <w:pPr>
        <w:pStyle w:val="58"/>
      </w:pPr>
      <w:r>
        <w:t xml:space="preserve">Nesta hipótese, aplicam-se também os </w:t>
      </w:r>
      <w:r>
        <w:fldChar w:fldCharType="begin"/>
      </w:r>
      <w:r>
        <w:instrText xml:space="preserve"> HYPERLINK "http://www.planalto.gov.br/ccivil_03/_ato2019-2022/2021/lei/L14133.htm" \l "art138" </w:instrText>
      </w:r>
      <w:r>
        <w:fldChar w:fldCharType="separate"/>
      </w:r>
      <w:r>
        <w:rPr>
          <w:rStyle w:val="13"/>
        </w:rPr>
        <w:t>artigos 138 e 139</w:t>
      </w:r>
      <w:r>
        <w:rPr>
          <w:rStyle w:val="13"/>
        </w:rPr>
        <w:fldChar w:fldCharType="end"/>
      </w:r>
      <w:r>
        <w:t xml:space="preserve"> da mesma Lei.</w:t>
      </w:r>
    </w:p>
    <w:p>
      <w:pPr>
        <w:pStyle w:val="58"/>
      </w:pPr>
      <w:r>
        <w:t>A alteração social ou a modificação da finalidade ou da estrutura da empresa não ensejará a extinção se não restringir sua capacidade de concluir o contrato.</w:t>
      </w:r>
    </w:p>
    <w:p>
      <w:pPr>
        <w:pStyle w:val="59"/>
      </w:pPr>
      <w:r>
        <w:rPr>
          <w:color w:val="000000" w:themeColor="text1"/>
          <w14:textFill>
            <w14:solidFill>
              <w14:schemeClr w14:val="tx1"/>
            </w14:solidFill>
          </w14:textFill>
        </w:rPr>
        <w:t xml:space="preserve">Se a operação </w:t>
      </w:r>
      <w:r>
        <w:t>implicar mudança da pessoa jurídica contratada, deverá ser formalizado termo aditivo para alteração subjetiva.</w:t>
      </w:r>
    </w:p>
    <w:p>
      <w:pPr>
        <w:pStyle w:val="56"/>
      </w:pPr>
      <w:r>
        <w:t>O termo de extinção, sempre que possível, será precedido:</w:t>
      </w:r>
    </w:p>
    <w:p>
      <w:pPr>
        <w:pStyle w:val="59"/>
      </w:pPr>
      <w:r>
        <w:t>Balanço dos eventos contratuais já cumpridos ou parcialmente cumpridos;</w:t>
      </w:r>
    </w:p>
    <w:p>
      <w:pPr>
        <w:pStyle w:val="59"/>
      </w:pPr>
      <w:r>
        <w:t>Relação dos pagamentos já efetuados e ainda devidos;</w:t>
      </w:r>
    </w:p>
    <w:p>
      <w:pPr>
        <w:pStyle w:val="59"/>
      </w:pPr>
      <w:r>
        <w:t>Indenizações e multas.</w:t>
      </w:r>
    </w:p>
    <w:p>
      <w:pPr>
        <w:pStyle w:val="56"/>
      </w:pPr>
      <w: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13"/>
        </w:rPr>
        <w:t xml:space="preserve">art. 131, </w:t>
      </w:r>
      <w:r>
        <w:rPr>
          <w:rStyle w:val="13"/>
          <w:i/>
          <w:iCs/>
        </w:rPr>
        <w:t xml:space="preserve">caput, </w:t>
      </w:r>
      <w:r>
        <w:rPr>
          <w:rStyle w:val="13"/>
        </w:rPr>
        <w:t>da Lei n.º 14.133, de 2021).</w:t>
      </w:r>
      <w:r>
        <w:rPr>
          <w:rStyle w:val="13"/>
        </w:rPr>
        <w:fldChar w:fldCharType="end"/>
      </w:r>
      <w:r>
        <w:t xml:space="preserve"> </w:t>
      </w:r>
    </w:p>
    <w:p>
      <w:pPr>
        <w:pStyle w:val="56"/>
      </w:pPr>
      <w: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pPr>
        <w:pStyle w:val="39"/>
        <w:rPr>
          <w:color w:val="FFFFFF" w:themeColor="background1"/>
          <w14:textFill>
            <w14:solidFill>
              <w14:schemeClr w14:val="bg1"/>
            </w14:solidFill>
          </w14:textFill>
        </w:rPr>
      </w:pPr>
      <w:r>
        <w:t>CLÁUSULA DÉCIMA QUARTA – DOTAÇÃO ORÇAMENTÁRIA (</w:t>
      </w:r>
      <w:r>
        <w:fldChar w:fldCharType="begin"/>
      </w:r>
      <w:r>
        <w:instrText xml:space="preserve"> HYPERLINK "http://www.planalto.gov.br/ccivil_03/_ato2019-2022/2021/lei/L14133.htm" \l "art92" \h </w:instrText>
      </w:r>
      <w:r>
        <w:fldChar w:fldCharType="separate"/>
      </w:r>
      <w:r>
        <w:rPr>
          <w:rStyle w:val="13"/>
        </w:rPr>
        <w:t>art. 92, VIII</w:t>
      </w:r>
      <w:r>
        <w:rPr>
          <w:rStyle w:val="13"/>
        </w:rPr>
        <w:fldChar w:fldCharType="end"/>
      </w:r>
      <w:r>
        <w:t>)</w:t>
      </w:r>
    </w:p>
    <w:p>
      <w:pPr>
        <w:pStyle w:val="56"/>
      </w:pPr>
      <w:r>
        <w:t>As despesas decorrentes da presente contratação correrão à conta de recursos específicos consignados no Orçamento Geral da União deste exercício, na dotação abaixo discriminada:</w:t>
      </w:r>
    </w:p>
    <w:p>
      <w:pPr>
        <w:numPr>
          <w:ilvl w:val="1"/>
          <w:numId w:val="10"/>
        </w:numPr>
        <w:suppressAutoHyphens/>
        <w:spacing w:before="120" w:after="120" w:line="276" w:lineRule="auto"/>
        <w:ind w:left="284" w:firstLine="1134"/>
        <w:jc w:val="both"/>
        <w:rPr>
          <w:rFonts w:ascii="Arial" w:hAnsi="Arial" w:eastAsia="Arial" w:cs="Arial"/>
          <w:sz w:val="20"/>
          <w:szCs w:val="20"/>
          <w:highlight w:val="cyan"/>
        </w:rPr>
      </w:pPr>
      <w:r>
        <w:rPr>
          <w:rFonts w:ascii="Arial" w:hAnsi="Arial" w:eastAsia="Arial" w:cs="Arial"/>
          <w:sz w:val="20"/>
          <w:szCs w:val="20"/>
        </w:rPr>
        <w:t xml:space="preserve">Elemento de Despesa: </w:t>
      </w:r>
      <w:r>
        <w:rPr>
          <w:rFonts w:hint="default" w:ascii="Arial" w:hAnsi="Arial" w:eastAsia="Arial" w:cs="Arial"/>
          <w:sz w:val="20"/>
          <w:szCs w:val="20"/>
          <w:lang w:val="pt-BR"/>
        </w:rPr>
        <w:t>3.3.90.25</w:t>
      </w:r>
      <w:r>
        <w:rPr>
          <w:rFonts w:ascii="Arial" w:hAnsi="Arial" w:eastAsia="Arial" w:cs="Arial"/>
          <w:sz w:val="20"/>
          <w:szCs w:val="20"/>
        </w:rPr>
        <w:t xml:space="preserve"> – </w:t>
      </w:r>
      <w:r>
        <w:rPr>
          <w:rFonts w:hint="default" w:ascii="Arial" w:hAnsi="Arial" w:eastAsia="Arial" w:cs="Arial"/>
          <w:sz w:val="20"/>
          <w:szCs w:val="20"/>
          <w:lang w:val="pt-BR"/>
        </w:rPr>
        <w:t xml:space="preserve">Taxa de Administração </w:t>
      </w:r>
      <w:r>
        <w:rPr>
          <w:rFonts w:ascii="Arial" w:hAnsi="Arial" w:eastAsia="Arial" w:cs="Arial"/>
          <w:sz w:val="20"/>
          <w:szCs w:val="20"/>
        </w:rPr>
        <w:t xml:space="preserve"> </w:t>
      </w:r>
    </w:p>
    <w:p>
      <w:pPr>
        <w:pStyle w:val="103"/>
        <w:rPr>
          <w:i w:val="0"/>
          <w:iCs w:val="0"/>
          <w:color w:val="auto"/>
        </w:rPr>
      </w:pPr>
      <w:r>
        <w:rPr>
          <w:i w:val="0"/>
          <w:iCs w:val="0"/>
          <w:color w:val="auto"/>
        </w:rPr>
        <w:t>A dotação relativa aos exercícios financeiros subsequentes será indicada após aprovação do Orçamento respectivo e liberação dos créditos correspondentes, mediante apostilamento.</w:t>
      </w:r>
    </w:p>
    <w:p>
      <w:pPr>
        <w:pStyle w:val="39"/>
        <w:rPr>
          <w:color w:val="FFFFFF" w:themeColor="background1"/>
          <w14:textFill>
            <w14:solidFill>
              <w14:schemeClr w14:val="bg1"/>
            </w14:solidFill>
          </w14:textFill>
        </w:rPr>
      </w:pPr>
      <w:r>
        <w:t>CLÁUSULA DÉCIMA QUINTA – DOS CASOS OMISSOS (</w:t>
      </w:r>
      <w:r>
        <w:fldChar w:fldCharType="begin"/>
      </w:r>
      <w:r>
        <w:instrText xml:space="preserve"> HYPERLINK "http://www.planalto.gov.br/ccivil_03/_ato2019-2022/2021/lei/L14133.htm" \l "art92" \h </w:instrText>
      </w:r>
      <w:r>
        <w:fldChar w:fldCharType="separate"/>
      </w:r>
      <w:r>
        <w:rPr>
          <w:rStyle w:val="13"/>
        </w:rPr>
        <w:t>art. 92, III</w:t>
      </w:r>
      <w:r>
        <w:rPr>
          <w:rStyle w:val="13"/>
        </w:rPr>
        <w:fldChar w:fldCharType="end"/>
      </w:r>
      <w:r>
        <w:t>)</w:t>
      </w:r>
    </w:p>
    <w:p>
      <w:pPr>
        <w:pStyle w:val="56"/>
      </w:pPr>
      <w: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13"/>
        </w:rPr>
        <w:t>Lei nº 14.133, de 2021</w:t>
      </w:r>
      <w:r>
        <w:rPr>
          <w:rStyle w:val="13"/>
        </w:rPr>
        <w:fldChar w:fldCharType="end"/>
      </w:r>
      <w: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13"/>
        </w:rPr>
        <w:t>Lei nº 8.078, de 1990 – Código de Defesa do Consumidor</w:t>
      </w:r>
      <w:r>
        <w:rPr>
          <w:rStyle w:val="13"/>
        </w:rPr>
        <w:fldChar w:fldCharType="end"/>
      </w:r>
      <w:r>
        <w:t xml:space="preserve"> – e normas e princípios gerais dos contratos.</w:t>
      </w:r>
    </w:p>
    <w:p>
      <w:pPr>
        <w:pStyle w:val="39"/>
        <w:rPr>
          <w:color w:val="FFFFFF" w:themeColor="background1"/>
          <w14:textFill>
            <w14:solidFill>
              <w14:schemeClr w14:val="bg1"/>
            </w14:solidFill>
          </w14:textFill>
        </w:rPr>
      </w:pPr>
      <w:r>
        <w:t>CLÁUSULA DÉCIMA SEXTA – ALTERAÇÕES</w:t>
      </w:r>
    </w:p>
    <w:p>
      <w:pPr>
        <w:pStyle w:val="56"/>
      </w:pPr>
      <w: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Style w:val="13"/>
        </w:rPr>
        <w:t>arts. 124 e seguintes da Lei nº 14.133, de 2021</w:t>
      </w:r>
      <w:r>
        <w:rPr>
          <w:rStyle w:val="13"/>
        </w:rPr>
        <w:fldChar w:fldCharType="end"/>
      </w:r>
      <w:r>
        <w:t>.</w:t>
      </w:r>
    </w:p>
    <w:p>
      <w:pPr>
        <w:pStyle w:val="56"/>
      </w:pPr>
      <w:r>
        <w:t>O contratado é obrigado a aceitar, nas mesmas condições contratuais, os acréscimos ou supressões que se fizerem necessários, até o limite de 25% (vinte e cinco por cento) do valor inicial atualizado do contrato.</w:t>
      </w:r>
    </w:p>
    <w:p>
      <w:pPr>
        <w:pStyle w:val="56"/>
      </w:pPr>
      <w: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pPr>
        <w:pStyle w:val="56"/>
      </w:pPr>
      <w: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Style w:val="13"/>
        </w:rPr>
        <w:t>art. 136 da Lei nº 14.133, de 2021</w:t>
      </w:r>
      <w:r>
        <w:rPr>
          <w:rStyle w:val="13"/>
        </w:rPr>
        <w:fldChar w:fldCharType="end"/>
      </w:r>
      <w:r>
        <w:t>.</w:t>
      </w:r>
    </w:p>
    <w:p>
      <w:pPr>
        <w:pStyle w:val="39"/>
        <w:rPr>
          <w:color w:val="FFFFFF" w:themeColor="background1"/>
          <w14:textFill>
            <w14:solidFill>
              <w14:schemeClr w14:val="bg1"/>
            </w14:solidFill>
          </w14:textFill>
        </w:rPr>
      </w:pPr>
      <w:r>
        <w:t>CLÁUSULA DÉCIMA SÉTIMA – PUBLICAÇÃO</w:t>
      </w:r>
    </w:p>
    <w:p>
      <w:pPr>
        <w:pStyle w:val="56"/>
      </w:pPr>
      <w: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Style w:val="13"/>
        </w:rPr>
        <w:t>art. 94 da Lei 14.133, de 2021</w:t>
      </w:r>
      <w:r>
        <w:rPr>
          <w:rStyle w:val="13"/>
        </w:rPr>
        <w:fldChar w:fldCharType="end"/>
      </w:r>
      <w:r>
        <w:t xml:space="preserve">, bem como no respectivo sítio oficial na Internet, em atenção ao art. 91, </w:t>
      </w:r>
      <w:r>
        <w:rPr>
          <w:i/>
          <w:iCs/>
        </w:rPr>
        <w:t>caput,</w:t>
      </w:r>
      <w:r>
        <w:t xml:space="preserve"> da Lei n.º 14.133, de 2021, e ao </w:t>
      </w:r>
      <w:r>
        <w:fldChar w:fldCharType="begin"/>
      </w:r>
      <w:r>
        <w:instrText xml:space="preserve"> HYPERLINK "https://www.planalto.gov.br/ccivil_03/_ato2011-2014/2011/lei/l12527.htm" \l "art8§2" \h </w:instrText>
      </w:r>
      <w:r>
        <w:fldChar w:fldCharType="separate"/>
      </w:r>
      <w:r>
        <w:rPr>
          <w:rStyle w:val="13"/>
        </w:rPr>
        <w:t>art. 8º, §2º, da Lei n. 12.527, de 2011</w:t>
      </w:r>
      <w:r>
        <w:rPr>
          <w:rStyle w:val="13"/>
        </w:rPr>
        <w:fldChar w:fldCharType="end"/>
      </w:r>
      <w:r>
        <w:t xml:space="preserve">, c/c </w:t>
      </w:r>
      <w:r>
        <w:fldChar w:fldCharType="begin"/>
      </w:r>
      <w:r>
        <w:instrText xml:space="preserve"> HYPERLINK "https://www.planalto.gov.br/ccivil_03/_ato2011-2014/2012/decreto/d7724.htm" \l "art7§3" \h </w:instrText>
      </w:r>
      <w:r>
        <w:fldChar w:fldCharType="separate"/>
      </w:r>
      <w:r>
        <w:rPr>
          <w:rStyle w:val="13"/>
        </w:rPr>
        <w:t>art. 7º, §3º, inciso V, do Decreto n. 7.724, de 2012.</w:t>
      </w:r>
      <w:r>
        <w:rPr>
          <w:rStyle w:val="13"/>
        </w:rPr>
        <w:fldChar w:fldCharType="end"/>
      </w:r>
      <w:r>
        <w:t xml:space="preserve"> </w:t>
      </w:r>
    </w:p>
    <w:p>
      <w:pPr>
        <w:pStyle w:val="39"/>
        <w:rPr>
          <w:color w:val="FFFFFF" w:themeColor="background1"/>
          <w14:textFill>
            <w14:solidFill>
              <w14:schemeClr w14:val="bg1"/>
            </w14:solidFill>
          </w14:textFill>
        </w:rPr>
      </w:pPr>
      <w:r>
        <w:t>CLÁUSULA DÉCIMA OITAVA– FORO (</w:t>
      </w:r>
      <w:r>
        <w:fldChar w:fldCharType="begin"/>
      </w:r>
      <w:r>
        <w:instrText xml:space="preserve"> HYPERLINK "http://www.planalto.gov.br/ccivil_03/_ato2019-2022/2021/lei/L14133.htm" \l "art92§1" \h </w:instrText>
      </w:r>
      <w:r>
        <w:fldChar w:fldCharType="separate"/>
      </w:r>
      <w:r>
        <w:rPr>
          <w:rStyle w:val="13"/>
        </w:rPr>
        <w:t>art. 92, §1º</w:t>
      </w:r>
      <w:r>
        <w:rPr>
          <w:rStyle w:val="13"/>
        </w:rPr>
        <w:fldChar w:fldCharType="end"/>
      </w:r>
      <w:r>
        <w:t>)</w:t>
      </w:r>
    </w:p>
    <w:p>
      <w:pPr>
        <w:pStyle w:val="56"/>
      </w:pPr>
      <w:r>
        <w:t xml:space="preserve">Fica eleito o Foro da Justiça Federal, Seção Judiciária de </w:t>
      </w:r>
      <w:r>
        <w:rPr>
          <w:rFonts w:hint="default"/>
          <w:color w:val="auto"/>
          <w:lang w:val="pt-BR"/>
        </w:rPr>
        <w:t>Mato Grosso</w:t>
      </w:r>
      <w:r>
        <w:rPr>
          <w:color w:val="auto"/>
        </w:rPr>
        <w:t xml:space="preserve"> </w:t>
      </w:r>
      <w:r>
        <w:t xml:space="preserve">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"art92§1" \h </w:instrText>
      </w:r>
      <w:r>
        <w:fldChar w:fldCharType="separate"/>
      </w:r>
      <w:r>
        <w:rPr>
          <w:rStyle w:val="13"/>
        </w:rPr>
        <w:t>art. 92, §1º, da Lei nº 14.133/21.</w:t>
      </w:r>
      <w:r>
        <w:rPr>
          <w:rStyle w:val="13"/>
        </w:rPr>
        <w:fldChar w:fldCharType="end"/>
      </w:r>
    </w:p>
    <w:p>
      <w:pPr>
        <w:pStyle w:val="56"/>
      </w:pPr>
      <w:r>
        <w:rPr>
          <w:color w:val="auto"/>
          <w:lang w:eastAsia="en-US"/>
        </w:rPr>
        <w:t xml:space="preserve">Fica eleito o Foro da Justiça Federal </w:t>
      </w:r>
      <w:r>
        <w:rPr>
          <w:rFonts w:hint="default"/>
          <w:color w:val="auto"/>
          <w:lang w:val="pt-BR" w:eastAsia="en-US"/>
        </w:rPr>
        <w:t xml:space="preserve">da </w:t>
      </w:r>
      <w:r>
        <w:t>Seção Judiciária de</w:t>
      </w:r>
      <w:r>
        <w:rPr>
          <w:rFonts w:hint="default"/>
          <w:lang w:val="pt-BR"/>
        </w:rPr>
        <w:t xml:space="preserve"> Mato Grosso, em Cuiabá/MT, </w:t>
      </w:r>
      <w:r>
        <w:t xml:space="preserve">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"art92§1" </w:instrText>
      </w:r>
      <w:r>
        <w:fldChar w:fldCharType="separate"/>
      </w:r>
      <w:r>
        <w:rPr>
          <w:rStyle w:val="13"/>
        </w:rPr>
        <w:t>art. 92, §1º, da Lei nº 14.133/21</w:t>
      </w:r>
      <w:r>
        <w:rPr>
          <w:rStyle w:val="13"/>
        </w:rPr>
        <w:fldChar w:fldCharType="end"/>
      </w:r>
      <w:r>
        <w:t>.</w:t>
      </w:r>
    </w:p>
    <w:p>
      <w:pPr>
        <w:pStyle w:val="56"/>
        <w:numPr>
          <w:ilvl w:val="0"/>
          <w:numId w:val="0"/>
        </w:numPr>
        <w:spacing w:after="288" w:afterLines="120" w:line="312" w:lineRule="auto"/>
        <w:ind w:firstLine="567"/>
        <w:jc w:val="right"/>
        <w:rPr>
          <w:i/>
          <w:iCs/>
          <w:color w:val="FF0000"/>
        </w:rPr>
      </w:pPr>
      <w:r>
        <w:rPr>
          <w:i/>
          <w:iCs/>
          <w:color w:val="FF0000"/>
        </w:rPr>
        <w:t>[Local]</w:t>
      </w:r>
      <w:r>
        <w:rPr>
          <w:i/>
          <w:iCs/>
          <w:color w:val="auto"/>
        </w:rPr>
        <w:t>,</w:t>
      </w:r>
      <w:r>
        <w:rPr>
          <w:i/>
          <w:iCs/>
          <w:color w:val="FF0000"/>
        </w:rPr>
        <w:t xml:space="preserve"> [dia] </w:t>
      </w:r>
      <w:r>
        <w:rPr>
          <w:i/>
          <w:iCs/>
          <w:color w:val="auto"/>
        </w:rPr>
        <w:t>de</w:t>
      </w:r>
      <w:r>
        <w:rPr>
          <w:i/>
          <w:iCs/>
          <w:color w:val="FF0000"/>
        </w:rPr>
        <w:t xml:space="preserve"> [mês] </w:t>
      </w:r>
      <w:r>
        <w:rPr>
          <w:i/>
          <w:iCs/>
          <w:color w:val="auto"/>
        </w:rPr>
        <w:t>de</w:t>
      </w:r>
      <w:r>
        <w:rPr>
          <w:i/>
          <w:iCs/>
          <w:color w:val="FF0000"/>
        </w:rPr>
        <w:t xml:space="preserve"> [ano].</w:t>
      </w:r>
    </w:p>
    <w:p>
      <w:pPr>
        <w:pStyle w:val="56"/>
        <w:numPr>
          <w:ilvl w:val="0"/>
          <w:numId w:val="0"/>
        </w:numPr>
        <w:spacing w:after="288" w:afterLines="120" w:line="312" w:lineRule="auto"/>
        <w:ind w:firstLine="567"/>
        <w:jc w:val="right"/>
        <w:rPr>
          <w:i/>
          <w:iCs/>
          <w:color w:val="FF0000"/>
        </w:rPr>
      </w:pPr>
    </w:p>
    <w:p>
      <w:pPr>
        <w:pStyle w:val="56"/>
        <w:numPr>
          <w:ilvl w:val="0"/>
          <w:numId w:val="0"/>
        </w:numPr>
        <w:spacing w:after="288" w:afterLines="120" w:line="312" w:lineRule="auto"/>
        <w:ind w:firstLine="567"/>
        <w:jc w:val="right"/>
        <w:rPr>
          <w:i/>
          <w:iCs/>
          <w:color w:val="FF0000"/>
        </w:rPr>
      </w:pPr>
    </w:p>
    <w:p>
      <w:pPr>
        <w:pStyle w:val="56"/>
        <w:numPr>
          <w:ilvl w:val="0"/>
          <w:numId w:val="0"/>
        </w:numPr>
        <w:spacing w:after="288" w:afterLines="120" w:line="312" w:lineRule="auto"/>
        <w:ind w:firstLine="567"/>
        <w:jc w:val="right"/>
        <w:rPr>
          <w:i/>
          <w:iCs/>
          <w:color w:val="FF0000"/>
        </w:rPr>
      </w:pPr>
    </w:p>
    <w:p>
      <w:pPr>
        <w:pStyle w:val="56"/>
        <w:numPr>
          <w:ilvl w:val="0"/>
          <w:numId w:val="0"/>
        </w:numPr>
        <w:spacing w:after="288" w:afterLines="120" w:line="312" w:lineRule="auto"/>
        <w:ind w:firstLine="567"/>
        <w:jc w:val="right"/>
        <w:rPr>
          <w:i/>
          <w:iCs/>
          <w:color w:val="FF0000"/>
        </w:rPr>
      </w:pPr>
    </w:p>
    <w:p>
      <w:pPr>
        <w:pStyle w:val="56"/>
        <w:numPr>
          <w:ilvl w:val="0"/>
          <w:numId w:val="0"/>
        </w:numPr>
        <w:spacing w:after="288" w:afterLines="120" w:line="312" w:lineRule="auto"/>
        <w:ind w:firstLine="567"/>
        <w:jc w:val="right"/>
        <w:rPr>
          <w:i/>
          <w:iCs/>
          <w:color w:val="FF0000"/>
        </w:rPr>
      </w:pPr>
    </w:p>
    <w:p>
      <w:pPr>
        <w:spacing w:before="120" w:after="288" w:afterLines="120" w:line="312" w:lineRule="auto"/>
        <w:ind w:firstLine="567"/>
        <w:jc w:val="center"/>
        <w:rPr>
          <w:rFonts w:ascii="Arial" w:hAnsi="Arial" w:cs="Arial"/>
          <w:bCs/>
          <w:sz w:val="20"/>
          <w:szCs w:val="20"/>
        </w:rPr>
      </w:pPr>
      <w:r>
        <w:rPr>
          <w:rFonts w:ascii="Arial" w:hAnsi="Arial" w:cs="Arial"/>
          <w:bCs/>
          <w:sz w:val="20"/>
          <w:szCs w:val="20"/>
        </w:rPr>
        <w:t>_________________________</w:t>
      </w:r>
    </w:p>
    <w:p>
      <w:pPr>
        <w:spacing w:before="120" w:after="288" w:afterLines="120" w:line="312" w:lineRule="auto"/>
        <w:ind w:firstLine="567"/>
        <w:jc w:val="center"/>
        <w:rPr>
          <w:rFonts w:ascii="Arial" w:hAnsi="Arial" w:cs="Arial"/>
          <w:bCs/>
          <w:sz w:val="20"/>
          <w:szCs w:val="20"/>
        </w:rPr>
      </w:pPr>
      <w:r>
        <w:rPr>
          <w:rFonts w:ascii="Arial" w:hAnsi="Arial" w:cs="Arial"/>
          <w:bCs/>
          <w:sz w:val="20"/>
          <w:szCs w:val="20"/>
        </w:rPr>
        <w:t>Representante legal do CONTRATANTE</w:t>
      </w:r>
    </w:p>
    <w:p>
      <w:pPr>
        <w:spacing w:before="120" w:after="288" w:afterLines="120" w:line="312" w:lineRule="auto"/>
        <w:ind w:firstLine="567"/>
        <w:jc w:val="center"/>
        <w:rPr>
          <w:rFonts w:ascii="Arial" w:hAnsi="Arial" w:cs="Arial"/>
          <w:bCs/>
          <w:sz w:val="20"/>
          <w:szCs w:val="20"/>
        </w:rPr>
      </w:pPr>
    </w:p>
    <w:p>
      <w:pPr>
        <w:spacing w:before="120" w:after="288" w:afterLines="120" w:line="312" w:lineRule="auto"/>
        <w:ind w:firstLine="567"/>
        <w:jc w:val="center"/>
        <w:rPr>
          <w:rFonts w:ascii="Arial" w:hAnsi="Arial" w:cs="Arial"/>
          <w:bCs/>
          <w:sz w:val="20"/>
          <w:szCs w:val="20"/>
        </w:rPr>
      </w:pPr>
    </w:p>
    <w:p>
      <w:pPr>
        <w:spacing w:before="120" w:after="288" w:afterLines="120" w:line="312" w:lineRule="auto"/>
        <w:ind w:firstLine="567"/>
        <w:jc w:val="center"/>
        <w:rPr>
          <w:rFonts w:ascii="Arial" w:hAnsi="Arial" w:cs="Arial"/>
          <w:bCs/>
          <w:sz w:val="20"/>
          <w:szCs w:val="20"/>
        </w:rPr>
      </w:pPr>
      <w:r>
        <w:rPr>
          <w:rFonts w:ascii="Arial" w:hAnsi="Arial" w:cs="Arial"/>
          <w:bCs/>
          <w:sz w:val="20"/>
          <w:szCs w:val="20"/>
        </w:rPr>
        <w:t>_________________________</w:t>
      </w:r>
    </w:p>
    <w:p>
      <w:pPr>
        <w:spacing w:before="120" w:after="288" w:afterLines="120" w:line="312" w:lineRule="auto"/>
        <w:ind w:firstLine="567"/>
        <w:jc w:val="center"/>
        <w:rPr>
          <w:rFonts w:hint="default" w:ascii="Arial" w:hAnsi="Arial" w:cs="Arial"/>
          <w:bCs/>
          <w:sz w:val="20"/>
          <w:szCs w:val="20"/>
          <w:lang w:val="pt-BR"/>
        </w:rPr>
      </w:pPr>
      <w:r>
        <w:rPr>
          <w:rFonts w:hint="default" w:ascii="Arial" w:hAnsi="Arial" w:cs="Arial"/>
          <w:bCs/>
          <w:sz w:val="20"/>
          <w:szCs w:val="20"/>
          <w:lang w:val="pt-BR"/>
        </w:rPr>
        <w:t>Procurador do Coren-MT</w:t>
      </w:r>
    </w:p>
    <w:p>
      <w:pPr>
        <w:spacing w:before="120" w:after="288" w:afterLines="120" w:line="312" w:lineRule="auto"/>
        <w:ind w:firstLine="567"/>
        <w:jc w:val="center"/>
        <w:rPr>
          <w:rFonts w:ascii="Arial" w:hAnsi="Arial" w:cs="Arial"/>
          <w:bCs/>
          <w:sz w:val="20"/>
          <w:szCs w:val="20"/>
        </w:rPr>
      </w:pPr>
    </w:p>
    <w:p>
      <w:pPr>
        <w:spacing w:before="120" w:after="288" w:afterLines="120" w:line="312" w:lineRule="auto"/>
        <w:ind w:firstLine="567"/>
        <w:jc w:val="center"/>
        <w:rPr>
          <w:rFonts w:ascii="Arial" w:hAnsi="Arial" w:cs="Arial"/>
          <w:sz w:val="20"/>
          <w:szCs w:val="20"/>
        </w:rPr>
      </w:pPr>
      <w:r>
        <w:rPr>
          <w:rFonts w:ascii="Arial" w:hAnsi="Arial" w:cs="Arial"/>
          <w:sz w:val="20"/>
          <w:szCs w:val="20"/>
        </w:rPr>
        <w:t>_________________________</w:t>
      </w:r>
    </w:p>
    <w:p>
      <w:pPr>
        <w:spacing w:before="120" w:after="288" w:afterLines="120" w:line="312" w:lineRule="auto"/>
        <w:ind w:firstLine="567"/>
        <w:jc w:val="center"/>
        <w:rPr>
          <w:rFonts w:ascii="Arial" w:hAnsi="Arial" w:cs="Arial"/>
          <w:sz w:val="20"/>
          <w:szCs w:val="20"/>
        </w:rPr>
      </w:pPr>
      <w:r>
        <w:rPr>
          <w:rFonts w:ascii="Arial" w:hAnsi="Arial" w:cs="Arial"/>
          <w:bCs/>
          <w:sz w:val="20"/>
          <w:szCs w:val="20"/>
        </w:rPr>
        <w:t>Representante</w:t>
      </w:r>
      <w:r>
        <w:rPr>
          <w:rFonts w:ascii="Arial" w:hAnsi="Arial" w:cs="Arial"/>
          <w:sz w:val="20"/>
          <w:szCs w:val="20"/>
        </w:rPr>
        <w:t xml:space="preserve"> legal do CONTRATADO</w:t>
      </w:r>
    </w:p>
    <w:p>
      <w:pPr>
        <w:spacing w:before="120" w:after="288" w:afterLines="120" w:line="312" w:lineRule="auto"/>
        <w:ind w:firstLine="567"/>
        <w:jc w:val="both"/>
        <w:rPr>
          <w:rFonts w:ascii="Arial" w:hAnsi="Arial" w:cs="Arial"/>
          <w:b/>
          <w:bCs/>
          <w:i/>
          <w:iCs/>
          <w:color w:val="auto"/>
          <w:sz w:val="20"/>
          <w:szCs w:val="20"/>
        </w:rPr>
      </w:pPr>
      <w:r>
        <w:rPr>
          <w:rFonts w:ascii="Arial" w:hAnsi="Arial" w:cs="Arial"/>
          <w:b/>
          <w:bCs/>
          <w:i/>
          <w:iCs/>
          <w:color w:val="auto"/>
          <w:sz w:val="20"/>
          <w:szCs w:val="20"/>
        </w:rPr>
        <w:t>TESTEMUNHAS:</w:t>
      </w:r>
    </w:p>
    <w:p>
      <w:pPr>
        <w:spacing w:before="120" w:after="288" w:afterLines="120" w:line="240" w:lineRule="auto"/>
        <w:ind w:firstLine="567"/>
        <w:rPr>
          <w:rFonts w:ascii="Arial" w:hAnsi="Arial" w:cs="Arial"/>
          <w:b/>
          <w:bCs/>
          <w:i/>
          <w:iCs/>
          <w:color w:val="auto"/>
          <w:sz w:val="20"/>
          <w:szCs w:val="20"/>
        </w:rPr>
      </w:pPr>
      <w:r>
        <w:rPr>
          <w:rFonts w:ascii="Arial" w:hAnsi="Arial" w:cs="Arial"/>
          <w:b/>
          <w:bCs/>
          <w:i/>
          <w:iCs/>
          <w:color w:val="auto"/>
          <w:sz w:val="20"/>
          <w:szCs w:val="20"/>
        </w:rPr>
        <w:t>1-</w:t>
      </w:r>
    </w:p>
    <w:p>
      <w:pPr>
        <w:spacing w:before="120" w:after="288" w:afterLines="120" w:line="240" w:lineRule="auto"/>
        <w:ind w:firstLine="567"/>
        <w:rPr>
          <w:rFonts w:hint="default" w:ascii="Arial" w:hAnsi="Arial" w:cs="Arial"/>
          <w:b/>
          <w:bCs/>
          <w:i/>
          <w:iCs/>
          <w:color w:val="auto"/>
          <w:sz w:val="20"/>
          <w:szCs w:val="20"/>
          <w:lang w:val="pt-BR"/>
        </w:rPr>
      </w:pPr>
      <w:r>
        <w:rPr>
          <w:rFonts w:hint="default" w:ascii="Arial" w:hAnsi="Arial" w:cs="Arial"/>
          <w:b/>
          <w:bCs/>
          <w:i/>
          <w:iCs/>
          <w:color w:val="auto"/>
          <w:sz w:val="20"/>
          <w:szCs w:val="20"/>
          <w:lang w:val="pt-BR"/>
        </w:rPr>
        <w:t>CPF:</w:t>
      </w:r>
    </w:p>
    <w:p>
      <w:pPr>
        <w:spacing w:before="120" w:after="288" w:afterLines="120" w:line="240" w:lineRule="auto"/>
        <w:ind w:firstLine="567"/>
        <w:rPr>
          <w:rFonts w:ascii="Arial" w:hAnsi="Arial" w:cs="Arial"/>
          <w:b/>
          <w:bCs/>
          <w:i/>
          <w:iCs/>
          <w:color w:val="auto"/>
          <w:sz w:val="20"/>
          <w:szCs w:val="20"/>
        </w:rPr>
      </w:pPr>
      <w:r>
        <w:rPr>
          <w:rFonts w:ascii="Arial" w:hAnsi="Arial" w:cs="Arial"/>
          <w:b/>
          <w:bCs/>
          <w:i/>
          <w:iCs/>
          <w:color w:val="auto"/>
          <w:sz w:val="20"/>
          <w:szCs w:val="20"/>
        </w:rPr>
        <w:t xml:space="preserve">2- </w:t>
      </w:r>
    </w:p>
    <w:p>
      <w:pPr>
        <w:spacing w:before="120" w:after="288" w:afterLines="120" w:line="240" w:lineRule="auto"/>
        <w:ind w:firstLine="567"/>
        <w:rPr>
          <w:rFonts w:hint="default" w:ascii="Arial" w:hAnsi="Arial" w:cs="Arial"/>
          <w:b/>
          <w:bCs/>
          <w:i/>
          <w:iCs/>
          <w:color w:val="auto"/>
          <w:sz w:val="20"/>
          <w:szCs w:val="20"/>
          <w:lang w:val="pt-BR"/>
        </w:rPr>
      </w:pPr>
      <w:r>
        <w:rPr>
          <w:rFonts w:hint="default" w:ascii="Arial" w:hAnsi="Arial" w:cs="Arial"/>
          <w:b/>
          <w:bCs/>
          <w:i/>
          <w:iCs/>
          <w:color w:val="auto"/>
          <w:sz w:val="20"/>
          <w:szCs w:val="20"/>
          <w:lang w:val="pt-BR"/>
        </w:rPr>
        <w:t xml:space="preserve">CPF: </w:t>
      </w:r>
    </w:p>
    <w:p>
      <w:pPr>
        <w:spacing w:before="120" w:after="288" w:afterLines="120" w:line="312" w:lineRule="auto"/>
        <w:ind w:firstLine="709"/>
        <w:rPr>
          <w:rFonts w:ascii="Arial" w:hAnsi="Arial" w:cs="Arial"/>
          <w:b/>
          <w:i/>
          <w:sz w:val="20"/>
          <w:szCs w:val="20"/>
        </w:rPr>
      </w:pPr>
      <w:bookmarkStart w:id="10" w:name="_GoBack"/>
      <w:bookmarkEnd w:id="10"/>
    </w:p>
    <w:sectPr>
      <w:headerReference r:id="rId3" w:type="default"/>
      <w:footerReference r:id="rId4"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2020603050405020304"/>
    <w:charset w:val="00"/>
    <w:family w:val="roman"/>
    <w:pitch w:val="default"/>
    <w:sig w:usb0="00000000" w:usb1="00000000" w:usb2="00000021" w:usb3="00000000" w:csb0="000001BF"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2016111550"/>
      <w:docPartObj>
        <w:docPartGallery w:val="autotext"/>
      </w:docPartObj>
    </w:sdtPr>
    <w:sdtEndPr>
      <w:rPr>
        <w:rFonts w:ascii="Arial" w:hAnsi="Arial" w:cs="Arial"/>
      </w:rPr>
    </w:sdtEndPr>
    <w:sdtContent>
      <w:p>
        <w:pPr>
          <w:pStyle w:val="21"/>
          <w:rPr>
            <w:rFonts w:ascii="Arial" w:hAnsi="Arial" w:cs="Arial"/>
          </w:rPr>
        </w:pPr>
        <w:r>
          <w:rPr>
            <w:rFonts w:hint="default"/>
            <w:lang w:val="pt-BR"/>
          </w:rPr>
          <w:drawing>
            <wp:inline distT="0" distB="0" distL="114300" distR="114300">
              <wp:extent cx="6023610" cy="1024255"/>
              <wp:effectExtent l="0" t="0" r="15240" b="4445"/>
              <wp:docPr id="2" name="Imagem 1" descr="RODAPÉ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RODAPÉ 2021"/>
                      <pic:cNvPicPr>
                        <a:picLocks noChangeAspect="1"/>
                      </pic:cNvPicPr>
                    </pic:nvPicPr>
                    <pic:blipFill>
                      <a:blip r:embed="rId1"/>
                      <a:stretch>
                        <a:fillRect/>
                      </a:stretch>
                    </pic:blipFill>
                    <pic:spPr>
                      <a:xfrm>
                        <a:off x="0" y="0"/>
                        <a:ext cx="6023610" cy="1024255"/>
                      </a:xfrm>
                      <a:prstGeom prst="rect">
                        <a:avLst/>
                      </a:prstGeom>
                      <a:noFill/>
                      <a:ln>
                        <a:noFill/>
                      </a:ln>
                    </pic:spPr>
                  </pic:pic>
                </a:graphicData>
              </a:graphic>
            </wp:inline>
          </w:drawing>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Layout w:type="autofit"/>
      <w:tblCellMar>
        <w:top w:w="0" w:type="dxa"/>
        <w:left w:w="108" w:type="dxa"/>
        <w:bottom w:w="0" w:type="dxa"/>
        <w:right w:w="108" w:type="dxa"/>
      </w:tblCellMar>
    </w:tblPr>
    <w:tblGrid>
      <w:gridCol w:w="9210"/>
    </w:tblGrid>
    <w:tr>
      <w:tblPrEx>
        <w:tblCellMar>
          <w:top w:w="0" w:type="dxa"/>
          <w:left w:w="108" w:type="dxa"/>
          <w:bottom w:w="0" w:type="dxa"/>
          <w:right w:w="108" w:type="dxa"/>
        </w:tblCellMar>
      </w:tblPrEx>
      <w:tc>
        <w:tcPr>
          <w:tcW w:w="9210" w:type="dxa"/>
          <w:noWrap w:val="0"/>
          <w:vAlign w:val="top"/>
        </w:tcPr>
        <w:p>
          <w:pPr>
            <w:pStyle w:val="19"/>
            <w:tabs>
              <w:tab w:val="center" w:pos="4419"/>
              <w:tab w:val="right" w:pos="8838"/>
              <w:tab w:val="clear" w:pos="4252"/>
              <w:tab w:val="clear" w:pos="8504"/>
            </w:tabs>
          </w:pPr>
          <w: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1592580" cy="866775"/>
                <wp:effectExtent l="0" t="0" r="0" b="9525"/>
                <wp:wrapSquare wrapText="bothSides"/>
                <wp:docPr id="1" name="Imagem 1" descr="D3B5FEF2856CD294F4662F2B8D2AA897CB99_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3B5FEF2856CD294F4662F2B8D2AA897CB99_brasao.png"/>
                        <pic:cNvPicPr>
                          <a:picLocks noChangeAspect="1"/>
                        </pic:cNvPicPr>
                      </pic:nvPicPr>
                      <pic:blipFill>
                        <a:blip r:embed="rId1"/>
                        <a:stretch>
                          <a:fillRect/>
                        </a:stretch>
                      </pic:blipFill>
                      <pic:spPr>
                        <a:xfrm>
                          <a:off x="0" y="0"/>
                          <a:ext cx="1592580" cy="866775"/>
                        </a:xfrm>
                        <a:prstGeom prst="rect">
                          <a:avLst/>
                        </a:prstGeom>
                        <a:noFill/>
                        <a:ln>
                          <a:noFill/>
                        </a:ln>
                      </pic:spPr>
                    </pic:pic>
                  </a:graphicData>
                </a:graphic>
              </wp:anchor>
            </w:drawing>
          </w:r>
        </w:p>
      </w:tc>
    </w:tr>
    <w:tr>
      <w:tblPrEx>
        <w:tblCellMar>
          <w:top w:w="0" w:type="dxa"/>
          <w:left w:w="108" w:type="dxa"/>
          <w:bottom w:w="0" w:type="dxa"/>
          <w:right w:w="108" w:type="dxa"/>
        </w:tblCellMar>
      </w:tblPrEx>
      <w:tc>
        <w:tcPr>
          <w:tcW w:w="9210" w:type="dxa"/>
          <w:noWrap w:val="0"/>
          <w:vAlign w:val="top"/>
        </w:tcPr>
        <w:p>
          <w:pPr>
            <w:pStyle w:val="19"/>
            <w:tabs>
              <w:tab w:val="center" w:pos="4419"/>
              <w:tab w:val="right" w:pos="8838"/>
              <w:tab w:val="clear" w:pos="4252"/>
              <w:tab w:val="clear" w:pos="8504"/>
            </w:tabs>
            <w:jc w:val="center"/>
            <w:rPr>
              <w:rFonts w:ascii="Arial" w:hAnsi="Arial" w:cs="Arial"/>
              <w:b/>
            </w:rPr>
          </w:pPr>
          <w:r>
            <w:rPr>
              <w:rFonts w:ascii="Arial" w:hAnsi="Arial" w:cs="Arial"/>
              <w:b/>
            </w:rPr>
            <w:t>CONSELHO REGIONAL DE ENFERMAGEM DE MATO GROSSO</w:t>
          </w:r>
        </w:p>
        <w:p>
          <w:pPr>
            <w:pStyle w:val="19"/>
            <w:tabs>
              <w:tab w:val="center" w:pos="4419"/>
              <w:tab w:val="right" w:pos="8838"/>
              <w:tab w:val="clear" w:pos="4252"/>
              <w:tab w:val="clear" w:pos="8504"/>
            </w:tabs>
            <w:jc w:val="center"/>
            <w:rPr>
              <w:rFonts w:ascii="Arial" w:hAnsi="Arial" w:cs="Arial"/>
              <w:b/>
              <w:sz w:val="20"/>
              <w:szCs w:val="20"/>
            </w:rPr>
          </w:pPr>
          <w:r>
            <w:rPr>
              <w:rFonts w:ascii="Arial" w:hAnsi="Arial" w:cs="Arial"/>
              <w:b/>
              <w:sz w:val="20"/>
              <w:szCs w:val="20"/>
            </w:rPr>
            <w:t>Criado pela Lei Nº 5.905 de 12/07/1973</w:t>
          </w:r>
        </w:p>
        <w:p>
          <w:pPr>
            <w:pStyle w:val="19"/>
            <w:tabs>
              <w:tab w:val="center" w:pos="4419"/>
              <w:tab w:val="right" w:pos="8838"/>
              <w:tab w:val="clear" w:pos="4252"/>
              <w:tab w:val="clear" w:pos="8504"/>
            </w:tabs>
            <w:jc w:val="center"/>
          </w:pPr>
          <w:r>
            <w:rPr>
              <w:rFonts w:ascii="Arial" w:hAnsi="Arial" w:cs="Arial"/>
              <w:b/>
              <w:sz w:val="20"/>
              <w:szCs w:val="20"/>
            </w:rPr>
            <w:t>Instalado pela Portaria Cofen N.º 001/1975</w:t>
          </w:r>
        </w:p>
      </w:tc>
    </w:tr>
  </w:tbl>
  <w:p>
    <w:pPr>
      <w:pStyle w:val="19"/>
      <w:jc w:val="cen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2">
    <w:nsid w:val="09101A4D"/>
    <w:multiLevelType w:val="multilevel"/>
    <w:tmpl w:val="09101A4D"/>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
    <w:nsid w:val="0C363AD2"/>
    <w:multiLevelType w:val="multilevel"/>
    <w:tmpl w:val="0C363AD2"/>
    <w:lvl w:ilvl="0" w:tentative="0">
      <w:start w:val="1"/>
      <w:numFmt w:val="decimal"/>
      <w:lvlText w:val="%1."/>
      <w:lvlJc w:val="left"/>
      <w:pPr>
        <w:tabs>
          <w:tab w:val="left" w:pos="0"/>
        </w:tabs>
        <w:ind w:left="360" w:hanging="360"/>
      </w:pPr>
      <w:rPr>
        <w:b/>
        <w:i w:val="0"/>
      </w:rPr>
    </w:lvl>
    <w:lvl w:ilvl="1" w:tentative="0">
      <w:start w:val="1"/>
      <w:numFmt w:val="upperRoman"/>
      <w:lvlText w:val="%2."/>
      <w:lvlJc w:val="right"/>
      <w:pPr>
        <w:tabs>
          <w:tab w:val="left" w:pos="0"/>
        </w:tabs>
        <w:ind w:left="360" w:hanging="360"/>
      </w:pPr>
    </w:lvl>
    <w:lvl w:ilvl="2" w:tentative="0">
      <w:start w:val="1"/>
      <w:numFmt w:val="decimal"/>
      <w:suff w:val="space"/>
      <w:lvlText w:val="%1.%2.%3."/>
      <w:lvlJc w:val="left"/>
      <w:pPr>
        <w:tabs>
          <w:tab w:val="left" w:pos="0"/>
        </w:tabs>
        <w:ind w:left="1135" w:firstLine="0"/>
      </w:pPr>
      <w:rPr>
        <w:b w:val="0"/>
        <w:i w:val="0"/>
      </w:rPr>
    </w:lvl>
    <w:lvl w:ilvl="3" w:tentative="0">
      <w:start w:val="1"/>
      <w:numFmt w:val="decimal"/>
      <w:suff w:val="space"/>
      <w:lvlText w:val="%1.%2.%3.%4."/>
      <w:lvlJc w:val="left"/>
      <w:pPr>
        <w:tabs>
          <w:tab w:val="left" w:pos="0"/>
        </w:tabs>
        <w:ind w:left="851" w:firstLine="0"/>
      </w:pPr>
      <w:rPr>
        <w:b/>
        <w:i w:val="0"/>
      </w:rPr>
    </w:lvl>
    <w:lvl w:ilvl="4" w:tentative="0">
      <w:start w:val="1"/>
      <w:numFmt w:val="decimal"/>
      <w:suff w:val="space"/>
      <w:lvlText w:val="%1.%2.%3.%4.%5."/>
      <w:lvlJc w:val="left"/>
      <w:pPr>
        <w:tabs>
          <w:tab w:val="left" w:pos="0"/>
        </w:tabs>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4">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496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520F70B1"/>
    <w:multiLevelType w:val="multilevel"/>
    <w:tmpl w:val="520F70B1"/>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720" w:hanging="360"/>
      </w:pPr>
    </w:lvl>
    <w:lvl w:ilvl="2" w:tentative="0">
      <w:start w:val="1"/>
      <w:numFmt w:val="lowerRoman"/>
      <w:lvlText w:val="%3)"/>
      <w:lvlJc w:val="left"/>
      <w:pPr>
        <w:tabs>
          <w:tab w:val="left" w:pos="0"/>
        </w:tabs>
        <w:ind w:left="1080" w:hanging="360"/>
      </w:pPr>
    </w:lvl>
    <w:lvl w:ilvl="3" w:tentative="0">
      <w:start w:val="1"/>
      <w:numFmt w:val="decimal"/>
      <w:lvlText w:val="(%4)"/>
      <w:lvlJc w:val="left"/>
      <w:pPr>
        <w:tabs>
          <w:tab w:val="left" w:pos="0"/>
        </w:tabs>
        <w:ind w:left="1440" w:hanging="360"/>
      </w:pPr>
      <w:rPr>
        <w:i w:val="0"/>
      </w:rPr>
    </w:lvl>
    <w:lvl w:ilvl="4" w:tentative="0">
      <w:start w:val="1"/>
      <w:numFmt w:val="lowerLetter"/>
      <w:lvlText w:val="(%5)"/>
      <w:lvlJc w:val="left"/>
      <w:pPr>
        <w:tabs>
          <w:tab w:val="left" w:pos="0"/>
        </w:tabs>
        <w:ind w:left="1800" w:hanging="360"/>
      </w:pPr>
    </w:lvl>
    <w:lvl w:ilvl="5" w:tentative="0">
      <w:start w:val="1"/>
      <w:numFmt w:val="lowerRoman"/>
      <w:lvlText w:val="(%6)"/>
      <w:lvlJc w:val="left"/>
      <w:pPr>
        <w:tabs>
          <w:tab w:val="left" w:pos="0"/>
        </w:tabs>
        <w:ind w:left="2160" w:hanging="360"/>
      </w:pPr>
    </w:lvl>
    <w:lvl w:ilvl="6" w:tentative="0">
      <w:start w:val="1"/>
      <w:numFmt w:val="decimal"/>
      <w:lvlText w:val="%7."/>
      <w:lvlJc w:val="left"/>
      <w:pPr>
        <w:tabs>
          <w:tab w:val="left" w:pos="0"/>
        </w:tabs>
        <w:ind w:left="2520" w:hanging="360"/>
      </w:pPr>
    </w:lvl>
    <w:lvl w:ilvl="7" w:tentative="0">
      <w:start w:val="1"/>
      <w:numFmt w:val="lowerLetter"/>
      <w:lvlText w:val="%8."/>
      <w:lvlJc w:val="left"/>
      <w:pPr>
        <w:tabs>
          <w:tab w:val="left" w:pos="0"/>
        </w:tabs>
        <w:ind w:left="2880" w:hanging="360"/>
      </w:pPr>
    </w:lvl>
    <w:lvl w:ilvl="8" w:tentative="0">
      <w:start w:val="1"/>
      <w:numFmt w:val="lowerRoman"/>
      <w:lvlText w:val="%9."/>
      <w:lvlJc w:val="left"/>
      <w:pPr>
        <w:tabs>
          <w:tab w:val="left" w:pos="0"/>
        </w:tabs>
        <w:ind w:left="3240" w:hanging="360"/>
      </w:pPr>
    </w:lvl>
  </w:abstractNum>
  <w:abstractNum w:abstractNumId="6">
    <w:nsid w:val="72031F72"/>
    <w:multiLevelType w:val="multilevel"/>
    <w:tmpl w:val="72031F72"/>
    <w:lvl w:ilvl="0" w:tentative="0">
      <w:start w:val="1"/>
      <w:numFmt w:val="decimal"/>
      <w:lvlText w:val="%1."/>
      <w:lvlJc w:val="left"/>
      <w:pPr>
        <w:ind w:left="360" w:hanging="360"/>
      </w:pPr>
      <w:rPr>
        <w:b/>
      </w:rPr>
    </w:lvl>
    <w:lvl w:ilvl="1" w:tentative="0">
      <w:start w:val="1"/>
      <w:numFmt w:val="lowerLetter"/>
      <w:lvlText w:val="%2)"/>
      <w:lvlJc w:val="left"/>
      <w:pPr>
        <w:ind w:left="4969" w:hanging="432"/>
      </w:pPr>
      <w:rPr>
        <w:b w:val="0"/>
        <w:i w:val="0"/>
        <w:iCs/>
        <w:strike w:val="0"/>
        <w:color w:val="auto"/>
        <w:sz w:val="20"/>
        <w:szCs w:val="20"/>
        <w:u w:val="none"/>
      </w:rPr>
    </w:lvl>
    <w:lvl w:ilvl="2" w:tentative="0">
      <w:start w:val="1"/>
      <w:numFmt w:val="decimal"/>
      <w:lvlText w:val="%1.%2.%3."/>
      <w:lvlJc w:val="left"/>
      <w:pPr>
        <w:ind w:left="3198" w:hanging="504"/>
      </w:pPr>
      <w:rPr>
        <w:rFonts w:hint="default" w:ascii="Arial" w:hAnsi="Arial" w:cs="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0"/>
  </w:num>
  <w:num w:numId="2">
    <w:abstractNumId w:val="4"/>
  </w:num>
  <w:num w:numId="3">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5"/>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36D"/>
    <w:rsid w:val="00003298"/>
    <w:rsid w:val="00003A4E"/>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17BFD"/>
    <w:rsid w:val="00020C33"/>
    <w:rsid w:val="00020DC0"/>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729"/>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0F3"/>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1ED0"/>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88F"/>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10A"/>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51B"/>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90440"/>
    <w:rsid w:val="001904A8"/>
    <w:rsid w:val="00191140"/>
    <w:rsid w:val="001916AA"/>
    <w:rsid w:val="001935E5"/>
    <w:rsid w:val="001937C4"/>
    <w:rsid w:val="00194118"/>
    <w:rsid w:val="00194866"/>
    <w:rsid w:val="00194F7C"/>
    <w:rsid w:val="001958D0"/>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D81"/>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2BA"/>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6E9E"/>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30F"/>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9E"/>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66F"/>
    <w:rsid w:val="00267993"/>
    <w:rsid w:val="00267B22"/>
    <w:rsid w:val="0027094F"/>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449"/>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925"/>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70A"/>
    <w:rsid w:val="002E3A34"/>
    <w:rsid w:val="002E3B9D"/>
    <w:rsid w:val="002E3EEA"/>
    <w:rsid w:val="002E3F91"/>
    <w:rsid w:val="002E40C5"/>
    <w:rsid w:val="002E4709"/>
    <w:rsid w:val="002E477F"/>
    <w:rsid w:val="002E480D"/>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1FD0"/>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1A3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E99"/>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459"/>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316"/>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502C"/>
    <w:rsid w:val="003C5CFB"/>
    <w:rsid w:val="003C5E76"/>
    <w:rsid w:val="003C5F74"/>
    <w:rsid w:val="003C609E"/>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21E"/>
    <w:rsid w:val="0040443F"/>
    <w:rsid w:val="004053E1"/>
    <w:rsid w:val="004055C9"/>
    <w:rsid w:val="00405763"/>
    <w:rsid w:val="00406952"/>
    <w:rsid w:val="00406F81"/>
    <w:rsid w:val="00407603"/>
    <w:rsid w:val="00407680"/>
    <w:rsid w:val="004076F7"/>
    <w:rsid w:val="00407F1C"/>
    <w:rsid w:val="004119BA"/>
    <w:rsid w:val="00411D38"/>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01"/>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2B0"/>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C17"/>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110E"/>
    <w:rsid w:val="004815B0"/>
    <w:rsid w:val="00482163"/>
    <w:rsid w:val="00482AA9"/>
    <w:rsid w:val="004830F4"/>
    <w:rsid w:val="004834FC"/>
    <w:rsid w:val="00483B15"/>
    <w:rsid w:val="00483FB9"/>
    <w:rsid w:val="004845C8"/>
    <w:rsid w:val="004849BE"/>
    <w:rsid w:val="00485F60"/>
    <w:rsid w:val="004866B0"/>
    <w:rsid w:val="00486C44"/>
    <w:rsid w:val="004875F1"/>
    <w:rsid w:val="004903FB"/>
    <w:rsid w:val="00491176"/>
    <w:rsid w:val="004912FB"/>
    <w:rsid w:val="004913E1"/>
    <w:rsid w:val="004919E4"/>
    <w:rsid w:val="00491F90"/>
    <w:rsid w:val="004920B4"/>
    <w:rsid w:val="0049237B"/>
    <w:rsid w:val="00492C93"/>
    <w:rsid w:val="00492E29"/>
    <w:rsid w:val="00493D94"/>
    <w:rsid w:val="004946CD"/>
    <w:rsid w:val="00494882"/>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A7F"/>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1420"/>
    <w:rsid w:val="004D2BC8"/>
    <w:rsid w:val="004D31CA"/>
    <w:rsid w:val="004D3268"/>
    <w:rsid w:val="004D374E"/>
    <w:rsid w:val="004D38D3"/>
    <w:rsid w:val="004D39AE"/>
    <w:rsid w:val="004D4C70"/>
    <w:rsid w:val="004D6968"/>
    <w:rsid w:val="004D6DCA"/>
    <w:rsid w:val="004D715C"/>
    <w:rsid w:val="004D7205"/>
    <w:rsid w:val="004D7340"/>
    <w:rsid w:val="004D7421"/>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7D7"/>
    <w:rsid w:val="00577B8D"/>
    <w:rsid w:val="005800D8"/>
    <w:rsid w:val="00580A59"/>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34"/>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956"/>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2F37"/>
    <w:rsid w:val="005F333B"/>
    <w:rsid w:val="005F34E6"/>
    <w:rsid w:val="005F4215"/>
    <w:rsid w:val="005F50D6"/>
    <w:rsid w:val="005F51D4"/>
    <w:rsid w:val="005F51F9"/>
    <w:rsid w:val="005F52E3"/>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0D3C"/>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67"/>
    <w:rsid w:val="00620C94"/>
    <w:rsid w:val="006210D6"/>
    <w:rsid w:val="00621397"/>
    <w:rsid w:val="006217A6"/>
    <w:rsid w:val="006219D6"/>
    <w:rsid w:val="00621B3B"/>
    <w:rsid w:val="00622B3D"/>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02"/>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5E4A"/>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07"/>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A48"/>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23CB"/>
    <w:rsid w:val="007136D9"/>
    <w:rsid w:val="00713A16"/>
    <w:rsid w:val="00714034"/>
    <w:rsid w:val="007145B4"/>
    <w:rsid w:val="00714A09"/>
    <w:rsid w:val="00715114"/>
    <w:rsid w:val="00715139"/>
    <w:rsid w:val="007159EC"/>
    <w:rsid w:val="007164C4"/>
    <w:rsid w:val="007166B3"/>
    <w:rsid w:val="00716ABD"/>
    <w:rsid w:val="00716BAF"/>
    <w:rsid w:val="00720342"/>
    <w:rsid w:val="00720EA6"/>
    <w:rsid w:val="007214E3"/>
    <w:rsid w:val="00721F24"/>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4F"/>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A79"/>
    <w:rsid w:val="00763C01"/>
    <w:rsid w:val="00763FAD"/>
    <w:rsid w:val="007643AB"/>
    <w:rsid w:val="00764B79"/>
    <w:rsid w:val="00764F36"/>
    <w:rsid w:val="007656AF"/>
    <w:rsid w:val="00766275"/>
    <w:rsid w:val="0076696B"/>
    <w:rsid w:val="007672C9"/>
    <w:rsid w:val="007679B9"/>
    <w:rsid w:val="00767A83"/>
    <w:rsid w:val="00767DDE"/>
    <w:rsid w:val="00770AF6"/>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16F9"/>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385"/>
    <w:rsid w:val="007B547C"/>
    <w:rsid w:val="007B5CF4"/>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2EBA"/>
    <w:rsid w:val="007C33CF"/>
    <w:rsid w:val="007C3543"/>
    <w:rsid w:val="007C36CB"/>
    <w:rsid w:val="007C384C"/>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5CB"/>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3F3"/>
    <w:rsid w:val="0080756C"/>
    <w:rsid w:val="00807FAE"/>
    <w:rsid w:val="00810322"/>
    <w:rsid w:val="00810325"/>
    <w:rsid w:val="00811243"/>
    <w:rsid w:val="00811AF4"/>
    <w:rsid w:val="00811E3F"/>
    <w:rsid w:val="0081220D"/>
    <w:rsid w:val="00812758"/>
    <w:rsid w:val="00812ECF"/>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4EB5"/>
    <w:rsid w:val="008251AB"/>
    <w:rsid w:val="008255A4"/>
    <w:rsid w:val="008257ED"/>
    <w:rsid w:val="00825ABA"/>
    <w:rsid w:val="00826A56"/>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1BD"/>
    <w:rsid w:val="008443C4"/>
    <w:rsid w:val="008446E2"/>
    <w:rsid w:val="0084493A"/>
    <w:rsid w:val="00844CEC"/>
    <w:rsid w:val="00844E0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0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5703"/>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16A"/>
    <w:rsid w:val="009056EC"/>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8C1"/>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7D1"/>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BBB"/>
    <w:rsid w:val="009A2C08"/>
    <w:rsid w:val="009A2CD1"/>
    <w:rsid w:val="009A34CB"/>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6C46"/>
    <w:rsid w:val="009C7998"/>
    <w:rsid w:val="009C7AEF"/>
    <w:rsid w:val="009C7DCE"/>
    <w:rsid w:val="009D05E0"/>
    <w:rsid w:val="009D199C"/>
    <w:rsid w:val="009D1F22"/>
    <w:rsid w:val="009D217F"/>
    <w:rsid w:val="009D2594"/>
    <w:rsid w:val="009D29E9"/>
    <w:rsid w:val="009D3626"/>
    <w:rsid w:val="009D38AB"/>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78D"/>
    <w:rsid w:val="00A11C34"/>
    <w:rsid w:val="00A11EA9"/>
    <w:rsid w:val="00A12068"/>
    <w:rsid w:val="00A120B9"/>
    <w:rsid w:val="00A1260A"/>
    <w:rsid w:val="00A1264F"/>
    <w:rsid w:val="00A12A7C"/>
    <w:rsid w:val="00A1330E"/>
    <w:rsid w:val="00A138DE"/>
    <w:rsid w:val="00A13B91"/>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52"/>
    <w:rsid w:val="00A831D9"/>
    <w:rsid w:val="00A83508"/>
    <w:rsid w:val="00A83CAC"/>
    <w:rsid w:val="00A84F12"/>
    <w:rsid w:val="00A856EB"/>
    <w:rsid w:val="00A86236"/>
    <w:rsid w:val="00A875E3"/>
    <w:rsid w:val="00A87694"/>
    <w:rsid w:val="00A9022E"/>
    <w:rsid w:val="00A902D4"/>
    <w:rsid w:val="00A90448"/>
    <w:rsid w:val="00A9079C"/>
    <w:rsid w:val="00A90C0D"/>
    <w:rsid w:val="00A90FFB"/>
    <w:rsid w:val="00A91257"/>
    <w:rsid w:val="00A9209F"/>
    <w:rsid w:val="00A9235A"/>
    <w:rsid w:val="00A92C0D"/>
    <w:rsid w:val="00A92EB1"/>
    <w:rsid w:val="00A92F92"/>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6F14"/>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D68"/>
    <w:rsid w:val="00B33EA5"/>
    <w:rsid w:val="00B33F5C"/>
    <w:rsid w:val="00B340AB"/>
    <w:rsid w:val="00B34514"/>
    <w:rsid w:val="00B34550"/>
    <w:rsid w:val="00B34AF6"/>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3D35"/>
    <w:rsid w:val="00B4424E"/>
    <w:rsid w:val="00B44753"/>
    <w:rsid w:val="00B449E5"/>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DFC"/>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FEA"/>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192"/>
    <w:rsid w:val="00BA036D"/>
    <w:rsid w:val="00BA0965"/>
    <w:rsid w:val="00BA1705"/>
    <w:rsid w:val="00BA1C62"/>
    <w:rsid w:val="00BA2132"/>
    <w:rsid w:val="00BA22D3"/>
    <w:rsid w:val="00BA2524"/>
    <w:rsid w:val="00BA3049"/>
    <w:rsid w:val="00BA3224"/>
    <w:rsid w:val="00BA4295"/>
    <w:rsid w:val="00BA456F"/>
    <w:rsid w:val="00BA493D"/>
    <w:rsid w:val="00BA5352"/>
    <w:rsid w:val="00BA53DE"/>
    <w:rsid w:val="00BA5B58"/>
    <w:rsid w:val="00BA659C"/>
    <w:rsid w:val="00BA728C"/>
    <w:rsid w:val="00BA73D4"/>
    <w:rsid w:val="00BA74F1"/>
    <w:rsid w:val="00BA78DC"/>
    <w:rsid w:val="00BA7C4B"/>
    <w:rsid w:val="00BB0200"/>
    <w:rsid w:val="00BB0275"/>
    <w:rsid w:val="00BB0338"/>
    <w:rsid w:val="00BB0479"/>
    <w:rsid w:val="00BB0AB1"/>
    <w:rsid w:val="00BB0AD4"/>
    <w:rsid w:val="00BB0C3B"/>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1F5B"/>
    <w:rsid w:val="00BE2903"/>
    <w:rsid w:val="00BE2E8B"/>
    <w:rsid w:val="00BE318A"/>
    <w:rsid w:val="00BE349E"/>
    <w:rsid w:val="00BE35DA"/>
    <w:rsid w:val="00BE44F2"/>
    <w:rsid w:val="00BF0A46"/>
    <w:rsid w:val="00BF0E8E"/>
    <w:rsid w:val="00BF17C6"/>
    <w:rsid w:val="00BF1A7F"/>
    <w:rsid w:val="00BF2085"/>
    <w:rsid w:val="00BF2488"/>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C46"/>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1B3F"/>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5ED3"/>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57E23"/>
    <w:rsid w:val="00C60425"/>
    <w:rsid w:val="00C60557"/>
    <w:rsid w:val="00C60AFD"/>
    <w:rsid w:val="00C60C2D"/>
    <w:rsid w:val="00C6162E"/>
    <w:rsid w:val="00C619BB"/>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979"/>
    <w:rsid w:val="00CD1E9D"/>
    <w:rsid w:val="00CD243C"/>
    <w:rsid w:val="00CD2A30"/>
    <w:rsid w:val="00CD2D54"/>
    <w:rsid w:val="00CD4041"/>
    <w:rsid w:val="00CD4565"/>
    <w:rsid w:val="00CD461B"/>
    <w:rsid w:val="00CD4B0C"/>
    <w:rsid w:val="00CD4F99"/>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71E9"/>
    <w:rsid w:val="00CE7B1F"/>
    <w:rsid w:val="00CE7F9D"/>
    <w:rsid w:val="00CF034D"/>
    <w:rsid w:val="00CF0DEC"/>
    <w:rsid w:val="00CF10DB"/>
    <w:rsid w:val="00CF126F"/>
    <w:rsid w:val="00CF2572"/>
    <w:rsid w:val="00CF25A1"/>
    <w:rsid w:val="00CF2BA1"/>
    <w:rsid w:val="00CF2EA9"/>
    <w:rsid w:val="00CF2FFE"/>
    <w:rsid w:val="00CF3011"/>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2F"/>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EDE"/>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33BE"/>
    <w:rsid w:val="00D84C22"/>
    <w:rsid w:val="00D8562F"/>
    <w:rsid w:val="00D858D9"/>
    <w:rsid w:val="00D85B15"/>
    <w:rsid w:val="00D87036"/>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5AA0"/>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4A7D"/>
    <w:rsid w:val="00DA524D"/>
    <w:rsid w:val="00DA7D61"/>
    <w:rsid w:val="00DB0BB5"/>
    <w:rsid w:val="00DB14DD"/>
    <w:rsid w:val="00DB15AC"/>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A04"/>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52B"/>
    <w:rsid w:val="00E307B6"/>
    <w:rsid w:val="00E3142D"/>
    <w:rsid w:val="00E316F5"/>
    <w:rsid w:val="00E319EA"/>
    <w:rsid w:val="00E32E9C"/>
    <w:rsid w:val="00E32FAF"/>
    <w:rsid w:val="00E339F2"/>
    <w:rsid w:val="00E34EBE"/>
    <w:rsid w:val="00E34F85"/>
    <w:rsid w:val="00E36093"/>
    <w:rsid w:val="00E37AE3"/>
    <w:rsid w:val="00E37C70"/>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05"/>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75E3"/>
    <w:rsid w:val="00E77A45"/>
    <w:rsid w:val="00E80693"/>
    <w:rsid w:val="00E812F5"/>
    <w:rsid w:val="00E8154B"/>
    <w:rsid w:val="00E82968"/>
    <w:rsid w:val="00E8357D"/>
    <w:rsid w:val="00E8373C"/>
    <w:rsid w:val="00E83967"/>
    <w:rsid w:val="00E839AD"/>
    <w:rsid w:val="00E83E51"/>
    <w:rsid w:val="00E83FCE"/>
    <w:rsid w:val="00E84570"/>
    <w:rsid w:val="00E846CA"/>
    <w:rsid w:val="00E8487A"/>
    <w:rsid w:val="00E8499D"/>
    <w:rsid w:val="00E85726"/>
    <w:rsid w:val="00E85E2B"/>
    <w:rsid w:val="00E872A7"/>
    <w:rsid w:val="00E878CC"/>
    <w:rsid w:val="00E87A7D"/>
    <w:rsid w:val="00E87EAD"/>
    <w:rsid w:val="00E901AB"/>
    <w:rsid w:val="00E90AF8"/>
    <w:rsid w:val="00E91FB8"/>
    <w:rsid w:val="00E923FD"/>
    <w:rsid w:val="00E924F7"/>
    <w:rsid w:val="00E9292A"/>
    <w:rsid w:val="00E93943"/>
    <w:rsid w:val="00E94687"/>
    <w:rsid w:val="00E950A6"/>
    <w:rsid w:val="00E95DD9"/>
    <w:rsid w:val="00E96341"/>
    <w:rsid w:val="00E9647F"/>
    <w:rsid w:val="00E967EA"/>
    <w:rsid w:val="00E96839"/>
    <w:rsid w:val="00E96CB9"/>
    <w:rsid w:val="00E9721B"/>
    <w:rsid w:val="00E97299"/>
    <w:rsid w:val="00E9747A"/>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6B12"/>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2B3"/>
    <w:rsid w:val="00EF26BD"/>
    <w:rsid w:val="00EF2B66"/>
    <w:rsid w:val="00EF4033"/>
    <w:rsid w:val="00EF4A41"/>
    <w:rsid w:val="00EF5D36"/>
    <w:rsid w:val="00EF5F34"/>
    <w:rsid w:val="00EF66FC"/>
    <w:rsid w:val="00EF6B68"/>
    <w:rsid w:val="00EF72D1"/>
    <w:rsid w:val="00EF7936"/>
    <w:rsid w:val="00F00C01"/>
    <w:rsid w:val="00F0135B"/>
    <w:rsid w:val="00F01AE3"/>
    <w:rsid w:val="00F01FD1"/>
    <w:rsid w:val="00F0247E"/>
    <w:rsid w:val="00F02E73"/>
    <w:rsid w:val="00F03088"/>
    <w:rsid w:val="00F03091"/>
    <w:rsid w:val="00F03789"/>
    <w:rsid w:val="00F05459"/>
    <w:rsid w:val="00F05514"/>
    <w:rsid w:val="00F0613B"/>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C4A"/>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730"/>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ED1"/>
    <w:rsid w:val="00F7617C"/>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5EE"/>
    <w:rsid w:val="00F9294C"/>
    <w:rsid w:val="00F92F98"/>
    <w:rsid w:val="00F93AEB"/>
    <w:rsid w:val="00F93BBC"/>
    <w:rsid w:val="00F93DB1"/>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03"/>
    <w:rsid w:val="00FB4D43"/>
    <w:rsid w:val="00FB4DFA"/>
    <w:rsid w:val="00FB5120"/>
    <w:rsid w:val="00FB5485"/>
    <w:rsid w:val="00FB5D74"/>
    <w:rsid w:val="00FB5F5C"/>
    <w:rsid w:val="00FB6220"/>
    <w:rsid w:val="00FB6981"/>
    <w:rsid w:val="00FB6D84"/>
    <w:rsid w:val="00FB7076"/>
    <w:rsid w:val="00FB7543"/>
    <w:rsid w:val="00FB75FC"/>
    <w:rsid w:val="00FB7B2D"/>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89FA5E"/>
    <w:rsid w:val="02A5B310"/>
    <w:rsid w:val="036F9FAF"/>
    <w:rsid w:val="04B86DCC"/>
    <w:rsid w:val="055AB46E"/>
    <w:rsid w:val="05B482E3"/>
    <w:rsid w:val="060EA3DB"/>
    <w:rsid w:val="063653B2"/>
    <w:rsid w:val="06620B1D"/>
    <w:rsid w:val="07AA743C"/>
    <w:rsid w:val="0825C528"/>
    <w:rsid w:val="089E139D"/>
    <w:rsid w:val="0AB4EB49"/>
    <w:rsid w:val="0C72485D"/>
    <w:rsid w:val="0C9E538D"/>
    <w:rsid w:val="0CD8499C"/>
    <w:rsid w:val="0DA1B3F3"/>
    <w:rsid w:val="0DB0AC54"/>
    <w:rsid w:val="0F79B9D7"/>
    <w:rsid w:val="10E0D201"/>
    <w:rsid w:val="11041DAD"/>
    <w:rsid w:val="114D992C"/>
    <w:rsid w:val="120AD838"/>
    <w:rsid w:val="12894E52"/>
    <w:rsid w:val="138F33EB"/>
    <w:rsid w:val="15FB6522"/>
    <w:rsid w:val="165C66F7"/>
    <w:rsid w:val="16649FEF"/>
    <w:rsid w:val="17E7F9C9"/>
    <w:rsid w:val="187314D3"/>
    <w:rsid w:val="193305E4"/>
    <w:rsid w:val="1A0CC7BE"/>
    <w:rsid w:val="1AB5ADE8"/>
    <w:rsid w:val="1AECDB15"/>
    <w:rsid w:val="1C3EC466"/>
    <w:rsid w:val="1C8CA1DF"/>
    <w:rsid w:val="1D38DAFD"/>
    <w:rsid w:val="20B146F8"/>
    <w:rsid w:val="21D19061"/>
    <w:rsid w:val="21E662A0"/>
    <w:rsid w:val="225CA34E"/>
    <w:rsid w:val="23272055"/>
    <w:rsid w:val="242F06C7"/>
    <w:rsid w:val="24DF3391"/>
    <w:rsid w:val="2657C157"/>
    <w:rsid w:val="26789B7A"/>
    <w:rsid w:val="27D707DD"/>
    <w:rsid w:val="29325B22"/>
    <w:rsid w:val="29F468E2"/>
    <w:rsid w:val="2A115A7D"/>
    <w:rsid w:val="2B4D64D2"/>
    <w:rsid w:val="2B7872A7"/>
    <w:rsid w:val="2E29257B"/>
    <w:rsid w:val="2E715A7F"/>
    <w:rsid w:val="2F33A853"/>
    <w:rsid w:val="2FB0727F"/>
    <w:rsid w:val="3003D639"/>
    <w:rsid w:val="3022A7F5"/>
    <w:rsid w:val="30CF78B4"/>
    <w:rsid w:val="34A1E81C"/>
    <w:rsid w:val="36EC78EE"/>
    <w:rsid w:val="36F4710C"/>
    <w:rsid w:val="390C2635"/>
    <w:rsid w:val="3920A23A"/>
    <w:rsid w:val="39F8E1C2"/>
    <w:rsid w:val="3AE9E302"/>
    <w:rsid w:val="3B9683F7"/>
    <w:rsid w:val="3BCB3C2E"/>
    <w:rsid w:val="3CAB666A"/>
    <w:rsid w:val="3DECA2B5"/>
    <w:rsid w:val="3EDAD0A9"/>
    <w:rsid w:val="40993BDC"/>
    <w:rsid w:val="411272C2"/>
    <w:rsid w:val="4284D176"/>
    <w:rsid w:val="42E0FEE6"/>
    <w:rsid w:val="446868FA"/>
    <w:rsid w:val="449EE389"/>
    <w:rsid w:val="44A8FB23"/>
    <w:rsid w:val="45C436A0"/>
    <w:rsid w:val="4638CD78"/>
    <w:rsid w:val="471E9E97"/>
    <w:rsid w:val="473122FE"/>
    <w:rsid w:val="484339E3"/>
    <w:rsid w:val="48688A92"/>
    <w:rsid w:val="48703D10"/>
    <w:rsid w:val="48C08A7A"/>
    <w:rsid w:val="4AD3BACB"/>
    <w:rsid w:val="4B428375"/>
    <w:rsid w:val="4B8F2946"/>
    <w:rsid w:val="4D338AB3"/>
    <w:rsid w:val="4E973839"/>
    <w:rsid w:val="4EF68972"/>
    <w:rsid w:val="4F97EB4E"/>
    <w:rsid w:val="512C7C40"/>
    <w:rsid w:val="515AB37A"/>
    <w:rsid w:val="5189942C"/>
    <w:rsid w:val="51A6242E"/>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6DB163"/>
    <w:rsid w:val="67AF5CA0"/>
    <w:rsid w:val="6CB288AC"/>
    <w:rsid w:val="6CB29864"/>
    <w:rsid w:val="6CDEAB8A"/>
    <w:rsid w:val="6DAB702B"/>
    <w:rsid w:val="6E1727AA"/>
    <w:rsid w:val="6E9858D8"/>
    <w:rsid w:val="6EA8BB6A"/>
    <w:rsid w:val="6EFA4BB6"/>
    <w:rsid w:val="6F16824D"/>
    <w:rsid w:val="6F9619D1"/>
    <w:rsid w:val="6FF36856"/>
    <w:rsid w:val="71082589"/>
    <w:rsid w:val="71104140"/>
    <w:rsid w:val="712F5AB8"/>
    <w:rsid w:val="71A86A0D"/>
    <w:rsid w:val="724B2FE2"/>
    <w:rsid w:val="72C0B327"/>
    <w:rsid w:val="749958C6"/>
    <w:rsid w:val="74F482F7"/>
    <w:rsid w:val="759EF8DD"/>
    <w:rsid w:val="75AED98F"/>
    <w:rsid w:val="75FCB035"/>
    <w:rsid w:val="77392A14"/>
    <w:rsid w:val="77467F07"/>
    <w:rsid w:val="77E0AB9D"/>
    <w:rsid w:val="780F0071"/>
    <w:rsid w:val="7826B273"/>
    <w:rsid w:val="783000D8"/>
    <w:rsid w:val="788D7F63"/>
    <w:rsid w:val="78F9E42E"/>
    <w:rsid w:val="79546C12"/>
    <w:rsid w:val="7A70CAD6"/>
    <w:rsid w:val="7B294E6D"/>
    <w:rsid w:val="7B480BC9"/>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ind w:left="0" w:firstLine="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567" w:firstLine="0"/>
    </w:pPr>
    <w:rPr>
      <w:color w:val="auto"/>
    </w:rPr>
  </w:style>
  <w:style w:type="paragraph" w:customStyle="1" w:styleId="60">
    <w:name w:val="Nivel 5"/>
    <w:basedOn w:val="59"/>
    <w:qFormat/>
    <w:uiPriority w:val="0"/>
    <w:pPr>
      <w:numPr>
        <w:ilvl w:val="4"/>
      </w:numPr>
      <w:ind w:left="851"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0"/>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Menção Pendente5"/>
    <w:basedOn w:val="7"/>
    <w:semiHidden/>
    <w:unhideWhenUsed/>
    <w:qFormat/>
    <w:uiPriority w:val="99"/>
    <w:rPr>
      <w:color w:val="605E5C"/>
      <w:shd w:val="clear" w:color="auto" w:fill="E1DFDD"/>
    </w:rPr>
  </w:style>
  <w:style w:type="character" w:customStyle="1" w:styleId="117">
    <w:name w:val="Unresolved Mention1"/>
    <w:basedOn w:val="7"/>
    <w:semiHidden/>
    <w:unhideWhenUsed/>
    <w:qFormat/>
    <w:uiPriority w:val="99"/>
    <w:rPr>
      <w:color w:val="605E5C"/>
      <w:shd w:val="clear" w:color="auto" w:fill="E1DFDD"/>
    </w:rPr>
  </w:style>
  <w:style w:type="character" w:customStyle="1" w:styleId="118">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A8B92-2BE6-45F4-A7F5-0490ECFE5E01}">
  <ds:schemaRefs/>
</ds:datastoreItem>
</file>

<file path=customXml/itemProps2.xml><?xml version="1.0" encoding="utf-8"?>
<ds:datastoreItem xmlns:ds="http://schemas.openxmlformats.org/officeDocument/2006/customXml" ds:itemID="{692018DD-CD91-4DB8-9297-B61715C85DC2}">
  <ds:schemaRefs/>
</ds:datastoreItem>
</file>

<file path=customXml/itemProps3.xml><?xml version="1.0" encoding="utf-8"?>
<ds:datastoreItem xmlns:ds="http://schemas.openxmlformats.org/officeDocument/2006/customXml" ds:itemID="{AA85AC61-5723-4F7D-8D46-C22F68ADEF98}">
  <ds:schemaRefs/>
</ds:datastoreItem>
</file>

<file path=customXml/itemProps4.xml><?xml version="1.0" encoding="utf-8"?>
<ds:datastoreItem xmlns:ds="http://schemas.openxmlformats.org/officeDocument/2006/customXml" ds:itemID="{50B3C33E-C218-45F7-9A65-EB4684C43E82}">
  <ds:schemaRefs/>
</ds:datastoreItem>
</file>

<file path=docProps/app.xml><?xml version="1.0" encoding="utf-8"?>
<Properties xmlns="http://schemas.openxmlformats.org/officeDocument/2006/extended-properties" xmlns:vt="http://schemas.openxmlformats.org/officeDocument/2006/docPropsVTypes">
  <Template>Normal</Template>
  <Pages>14</Pages>
  <Words>6210</Words>
  <Characters>33540</Characters>
  <Lines>279</Lines>
  <Paragraphs>79</Paragraphs>
  <TotalTime>19</TotalTime>
  <ScaleCrop>false</ScaleCrop>
  <LinksUpToDate>false</LinksUpToDate>
  <CharactersWithSpaces>39671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2023-05-20T12:26:00Z</dcterms:created>
  <cp:lastPrinted>2024-02-28T15:06:57Z</cp:lastPrinted>
  <dcterms:modified xsi:type="dcterms:W3CDTF">2024-02-28T15:26:49Z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1046-12.2.0.13489</vt:lpwstr>
  </property>
  <property fmtid="{D5CDD505-2E9C-101B-9397-08002B2CF9AE}" pid="4" name="ICV">
    <vt:lpwstr>870B163BA9244D55AAC3CA0334128DA1_13</vt:lpwstr>
  </property>
</Properties>
</file>