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1BD3E" w14:textId="5DDE69E6" w:rsidR="00AB09C5" w:rsidRDefault="00AB09C5">
      <w:pPr>
        <w:spacing w:line="360"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rPr>
        <w:t>ANEXO II</w:t>
      </w:r>
    </w:p>
    <w:p w14:paraId="647025CE" w14:textId="13A25D4B" w:rsidR="00D36E6D" w:rsidRDefault="00BE53A8">
      <w:pPr>
        <w:spacing w:line="360"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rPr>
        <w:t xml:space="preserve">ESTUDO TÉCNICO PRELIMINAR </w:t>
      </w:r>
    </w:p>
    <w:p w14:paraId="09FB2ED2" w14:textId="66BC64B3" w:rsidR="005B2CB5" w:rsidRDefault="00BE53A8">
      <w:pPr>
        <w:spacing w:line="360"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rPr>
        <w:t>(ETP)</w:t>
      </w:r>
    </w:p>
    <w:p w14:paraId="1FB125CD" w14:textId="77777777" w:rsidR="005B2CB5" w:rsidRDefault="00BE53A8">
      <w:pPr>
        <w:spacing w:line="360" w:lineRule="auto"/>
        <w:rPr>
          <w:rFonts w:ascii="Times New Roman" w:hAnsi="Times New Roman" w:cs="Times New Roman"/>
          <w:b/>
          <w:spacing w:val="-2"/>
          <w:sz w:val="24"/>
          <w:szCs w:val="24"/>
        </w:rPr>
      </w:pPr>
      <w:r>
        <w:rPr>
          <w:rFonts w:ascii="Times New Roman" w:hAnsi="Times New Roman" w:cs="Times New Roman"/>
          <w:b/>
          <w:spacing w:val="-2"/>
          <w:sz w:val="24"/>
          <w:szCs w:val="24"/>
        </w:rPr>
        <w:t>1. INTRODUÇÃO</w:t>
      </w:r>
    </w:p>
    <w:p w14:paraId="6A03FDFD" w14:textId="77777777" w:rsidR="005B2CB5" w:rsidRDefault="00BE53A8">
      <w:pPr>
        <w:widowControl/>
        <w:autoSpaceDE/>
        <w:autoSpaceDN/>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1.1 O presente documento caracteriza a primeira etapa da fase de planejamento e apresenta os devidos estudos para a contratação de solução que atenderá à necessidade abaixo especificada. </w:t>
      </w:r>
    </w:p>
    <w:p w14:paraId="3633CEEB" w14:textId="77777777" w:rsidR="005B2CB5" w:rsidRDefault="005B2CB5">
      <w:pPr>
        <w:widowControl/>
        <w:autoSpaceDE/>
        <w:autoSpaceDN/>
        <w:jc w:val="both"/>
        <w:rPr>
          <w:rFonts w:ascii="Times New Roman" w:eastAsia="Times New Roman" w:hAnsi="Times New Roman" w:cs="Times New Roman"/>
          <w:sz w:val="24"/>
          <w:szCs w:val="24"/>
          <w:lang w:eastAsia="pt-BR"/>
        </w:rPr>
      </w:pPr>
    </w:p>
    <w:p w14:paraId="7C95D872" w14:textId="77777777" w:rsidR="005B2CB5" w:rsidRDefault="00BE53A8" w:rsidP="00D36E6D">
      <w:p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 O objetivo principal é estudar detalhadamente a necessidade e identificar no mercado a melhor solução para supri-la, em observância às normas vigentes e aos princípios que regem a Administração Pública.</w:t>
      </w:r>
    </w:p>
    <w:p w14:paraId="1B9D8DC5" w14:textId="77777777" w:rsidR="005B2CB5" w:rsidRDefault="005B2CB5">
      <w:pPr>
        <w:rPr>
          <w:rFonts w:ascii="Times New Roman" w:hAnsi="Times New Roman" w:cs="Times New Roman"/>
          <w:bCs/>
          <w:spacing w:val="-2"/>
          <w:sz w:val="24"/>
          <w:szCs w:val="24"/>
        </w:rPr>
      </w:pPr>
    </w:p>
    <w:p w14:paraId="065477E4" w14:textId="77777777" w:rsidR="005B2CB5" w:rsidRDefault="00BE53A8">
      <w:pPr>
        <w:rPr>
          <w:rFonts w:ascii="Times New Roman" w:hAnsi="Times New Roman" w:cs="Times New Roman"/>
          <w:b/>
          <w:spacing w:val="-2"/>
          <w:sz w:val="24"/>
          <w:szCs w:val="24"/>
        </w:rPr>
      </w:pPr>
      <w:r>
        <w:rPr>
          <w:rFonts w:ascii="Times New Roman" w:hAnsi="Times New Roman" w:cs="Times New Roman"/>
          <w:b/>
          <w:spacing w:val="-2"/>
          <w:sz w:val="24"/>
          <w:szCs w:val="24"/>
        </w:rPr>
        <w:t xml:space="preserve">2. DESCRIÇÃO DA NECESSIDADE </w:t>
      </w:r>
    </w:p>
    <w:p w14:paraId="7C38A35B" w14:textId="77777777" w:rsidR="005B2CB5" w:rsidRDefault="005B2CB5">
      <w:pPr>
        <w:widowControl/>
        <w:jc w:val="both"/>
        <w:rPr>
          <w:rFonts w:ascii="Times New Roman" w:hAnsi="Times New Roman" w:cs="Times New Roman"/>
          <w:sz w:val="24"/>
          <w:szCs w:val="24"/>
        </w:rPr>
      </w:pPr>
    </w:p>
    <w:p w14:paraId="0CCA893A" w14:textId="3E8E0494" w:rsidR="00B30D64" w:rsidRDefault="00B30D64">
      <w:pPr>
        <w:widowControl/>
        <w:jc w:val="both"/>
        <w:rPr>
          <w:rFonts w:ascii="Times New Roman" w:hAnsi="Times New Roman" w:cs="Times New Roman"/>
          <w:sz w:val="24"/>
          <w:szCs w:val="24"/>
        </w:rPr>
      </w:pPr>
      <w:r>
        <w:rPr>
          <w:rFonts w:ascii="Times New Roman" w:hAnsi="Times New Roman" w:cs="Times New Roman"/>
          <w:b/>
          <w:bCs/>
          <w:sz w:val="24"/>
          <w:szCs w:val="24"/>
        </w:rPr>
        <w:t xml:space="preserve">2.1 </w:t>
      </w:r>
      <w:r w:rsidRPr="00B30D64">
        <w:rPr>
          <w:rFonts w:ascii="Times New Roman" w:hAnsi="Times New Roman" w:cs="Times New Roman"/>
          <w:b/>
          <w:bCs/>
          <w:sz w:val="24"/>
          <w:szCs w:val="24"/>
        </w:rPr>
        <w:t>Problema</w:t>
      </w:r>
      <w:r w:rsidRPr="00B30D64">
        <w:rPr>
          <w:rFonts w:ascii="Times New Roman" w:hAnsi="Times New Roman" w:cs="Times New Roman"/>
          <w:sz w:val="24"/>
          <w:szCs w:val="24"/>
        </w:rPr>
        <w:t xml:space="preserve">(s) a ser(em) resolvido(s) sob a perspectiva do interesse público: </w:t>
      </w:r>
    </w:p>
    <w:p w14:paraId="2890B63F" w14:textId="0FE4E0B0" w:rsidR="00100579" w:rsidRDefault="00100579" w:rsidP="00100579">
      <w:pPr>
        <w:pStyle w:val="PargrafodaLista"/>
        <w:widowControl/>
        <w:numPr>
          <w:ilvl w:val="0"/>
          <w:numId w:val="1"/>
        </w:numPr>
        <w:rPr>
          <w:rFonts w:ascii="Times New Roman" w:hAnsi="Times New Roman" w:cs="Times New Roman"/>
          <w:sz w:val="24"/>
          <w:szCs w:val="24"/>
          <w:u w:val="single"/>
        </w:rPr>
      </w:pPr>
      <w:r>
        <w:rPr>
          <w:rFonts w:ascii="Times New Roman" w:hAnsi="Times New Roman" w:cs="Times New Roman"/>
          <w:b/>
          <w:bCs/>
          <w:sz w:val="24"/>
          <w:szCs w:val="24"/>
        </w:rPr>
        <w:t xml:space="preserve">repetir Licitação: </w:t>
      </w:r>
      <w:r w:rsidRPr="00D36E6D">
        <w:rPr>
          <w:rFonts w:ascii="Times New Roman" w:hAnsi="Times New Roman" w:cs="Times New Roman"/>
          <w:sz w:val="24"/>
          <w:szCs w:val="24"/>
          <w:u w:val="single"/>
        </w:rPr>
        <w:t xml:space="preserve">Pregão Eletrônico n. 90005/2024 </w:t>
      </w:r>
      <w:r w:rsidRPr="00E663B8">
        <w:rPr>
          <w:rFonts w:ascii="Times New Roman" w:hAnsi="Times New Roman" w:cs="Times New Roman"/>
          <w:b/>
          <w:bCs/>
          <w:sz w:val="24"/>
          <w:szCs w:val="24"/>
          <w:u w:val="single"/>
        </w:rPr>
        <w:t>fracassado,</w:t>
      </w:r>
      <w:r w:rsidRPr="00D36E6D">
        <w:rPr>
          <w:rFonts w:ascii="Times New Roman" w:hAnsi="Times New Roman" w:cs="Times New Roman"/>
          <w:sz w:val="24"/>
          <w:szCs w:val="24"/>
          <w:u w:val="single"/>
        </w:rPr>
        <w:t xml:space="preserve"> para os itens referente a material de expediente e limpeza. </w:t>
      </w:r>
    </w:p>
    <w:p w14:paraId="342B36DA" w14:textId="17CA65FA" w:rsidR="00E663B8" w:rsidRPr="00D36E6D" w:rsidRDefault="00E663B8" w:rsidP="00E663B8">
      <w:pPr>
        <w:pStyle w:val="PargrafodaLista"/>
        <w:widowControl/>
        <w:numPr>
          <w:ilvl w:val="0"/>
          <w:numId w:val="1"/>
        </w:numPr>
        <w:rPr>
          <w:rFonts w:ascii="Times New Roman" w:hAnsi="Times New Roman" w:cs="Times New Roman"/>
          <w:sz w:val="24"/>
          <w:szCs w:val="24"/>
          <w:u w:val="single"/>
        </w:rPr>
      </w:pPr>
      <w:r>
        <w:rPr>
          <w:rFonts w:ascii="Times New Roman" w:hAnsi="Times New Roman" w:cs="Times New Roman"/>
          <w:b/>
          <w:bCs/>
          <w:sz w:val="24"/>
          <w:szCs w:val="24"/>
        </w:rPr>
        <w:t xml:space="preserve">repetir Licitação: </w:t>
      </w:r>
      <w:r w:rsidRPr="00D36E6D">
        <w:rPr>
          <w:rFonts w:ascii="Times New Roman" w:hAnsi="Times New Roman" w:cs="Times New Roman"/>
          <w:sz w:val="24"/>
          <w:szCs w:val="24"/>
          <w:u w:val="single"/>
        </w:rPr>
        <w:t>Pregão Eletrônico n. 9000</w:t>
      </w:r>
      <w:r>
        <w:rPr>
          <w:rFonts w:ascii="Times New Roman" w:hAnsi="Times New Roman" w:cs="Times New Roman"/>
          <w:sz w:val="24"/>
          <w:szCs w:val="24"/>
          <w:u w:val="single"/>
        </w:rPr>
        <w:t>1</w:t>
      </w:r>
      <w:r w:rsidRPr="00D36E6D">
        <w:rPr>
          <w:rFonts w:ascii="Times New Roman" w:hAnsi="Times New Roman" w:cs="Times New Roman"/>
          <w:sz w:val="24"/>
          <w:szCs w:val="24"/>
          <w:u w:val="single"/>
        </w:rPr>
        <w:t>/202</w:t>
      </w:r>
      <w:r>
        <w:rPr>
          <w:rFonts w:ascii="Times New Roman" w:hAnsi="Times New Roman" w:cs="Times New Roman"/>
          <w:sz w:val="24"/>
          <w:szCs w:val="24"/>
          <w:u w:val="single"/>
        </w:rPr>
        <w:t>5</w:t>
      </w:r>
      <w:r w:rsidRPr="00D36E6D">
        <w:rPr>
          <w:rFonts w:ascii="Times New Roman" w:hAnsi="Times New Roman" w:cs="Times New Roman"/>
          <w:sz w:val="24"/>
          <w:szCs w:val="24"/>
          <w:u w:val="single"/>
        </w:rPr>
        <w:t xml:space="preserve"> </w:t>
      </w:r>
      <w:r w:rsidRPr="00E663B8">
        <w:rPr>
          <w:rFonts w:ascii="Times New Roman" w:hAnsi="Times New Roman" w:cs="Times New Roman"/>
          <w:b/>
          <w:bCs/>
          <w:sz w:val="24"/>
          <w:szCs w:val="24"/>
          <w:u w:val="single"/>
        </w:rPr>
        <w:t>revogado</w:t>
      </w:r>
      <w:r w:rsidRPr="00D36E6D">
        <w:rPr>
          <w:rFonts w:ascii="Times New Roman" w:hAnsi="Times New Roman" w:cs="Times New Roman"/>
          <w:sz w:val="24"/>
          <w:szCs w:val="24"/>
          <w:u w:val="single"/>
        </w:rPr>
        <w:t xml:space="preserve">, para os itens referente a material de expediente e limpeza. </w:t>
      </w:r>
    </w:p>
    <w:p w14:paraId="69DDDB07" w14:textId="39D67645" w:rsidR="00B30D64" w:rsidRPr="00B30D64" w:rsidRDefault="00B30D64" w:rsidP="00B30D64">
      <w:pPr>
        <w:pStyle w:val="PargrafodaLista"/>
        <w:widowControl/>
        <w:numPr>
          <w:ilvl w:val="0"/>
          <w:numId w:val="1"/>
        </w:numPr>
        <w:rPr>
          <w:rFonts w:ascii="Times New Roman" w:hAnsi="Times New Roman" w:cs="Times New Roman"/>
          <w:sz w:val="24"/>
          <w:szCs w:val="24"/>
        </w:rPr>
      </w:pPr>
      <w:r w:rsidRPr="00B30D64">
        <w:rPr>
          <w:rFonts w:ascii="Times New Roman" w:hAnsi="Times New Roman" w:cs="Times New Roman"/>
          <w:b/>
          <w:bCs/>
          <w:sz w:val="24"/>
          <w:szCs w:val="24"/>
        </w:rPr>
        <w:t>ausência</w:t>
      </w:r>
      <w:r w:rsidRPr="00B30D64">
        <w:rPr>
          <w:rFonts w:ascii="Times New Roman" w:hAnsi="Times New Roman" w:cs="Times New Roman"/>
          <w:sz w:val="24"/>
          <w:szCs w:val="24"/>
        </w:rPr>
        <w:t xml:space="preserve"> de estoque ou baixa de estoque de alguns itens; </w:t>
      </w:r>
    </w:p>
    <w:p w14:paraId="19CD5878" w14:textId="77777777" w:rsidR="00B30D64" w:rsidRPr="00B30D64" w:rsidRDefault="00B30D64" w:rsidP="00B30D64">
      <w:pPr>
        <w:pStyle w:val="PargrafodaLista"/>
        <w:widowControl/>
        <w:numPr>
          <w:ilvl w:val="0"/>
          <w:numId w:val="1"/>
        </w:numPr>
        <w:rPr>
          <w:rFonts w:ascii="Times New Roman" w:hAnsi="Times New Roman" w:cs="Times New Roman"/>
          <w:sz w:val="24"/>
          <w:szCs w:val="24"/>
        </w:rPr>
      </w:pPr>
      <w:r w:rsidRPr="00B30D64">
        <w:rPr>
          <w:rFonts w:ascii="Times New Roman" w:hAnsi="Times New Roman" w:cs="Times New Roman"/>
          <w:b/>
          <w:bCs/>
          <w:sz w:val="24"/>
          <w:szCs w:val="24"/>
        </w:rPr>
        <w:t>prazo exíguo</w:t>
      </w:r>
      <w:r w:rsidRPr="00B30D64">
        <w:rPr>
          <w:rFonts w:ascii="Times New Roman" w:hAnsi="Times New Roman" w:cs="Times New Roman"/>
          <w:sz w:val="24"/>
          <w:szCs w:val="24"/>
        </w:rPr>
        <w:t xml:space="preserve"> para ruptura do estoque, e </w:t>
      </w:r>
    </w:p>
    <w:p w14:paraId="4FE0EE9E" w14:textId="1597296C" w:rsidR="00B30D64" w:rsidRDefault="00B30D64" w:rsidP="00B30D64">
      <w:pPr>
        <w:pStyle w:val="PargrafodaLista"/>
        <w:widowControl/>
        <w:numPr>
          <w:ilvl w:val="0"/>
          <w:numId w:val="1"/>
        </w:numPr>
        <w:rPr>
          <w:rFonts w:ascii="Times New Roman" w:hAnsi="Times New Roman" w:cs="Times New Roman"/>
          <w:sz w:val="24"/>
          <w:szCs w:val="24"/>
        </w:rPr>
      </w:pPr>
      <w:r w:rsidRPr="00B30D64">
        <w:rPr>
          <w:rFonts w:ascii="Times New Roman" w:hAnsi="Times New Roman" w:cs="Times New Roman"/>
          <w:b/>
          <w:bCs/>
          <w:sz w:val="24"/>
          <w:szCs w:val="24"/>
        </w:rPr>
        <w:t>possibilidade de negativa</w:t>
      </w:r>
      <w:r w:rsidRPr="00B30D64">
        <w:rPr>
          <w:rFonts w:ascii="Times New Roman" w:hAnsi="Times New Roman" w:cs="Times New Roman"/>
          <w:sz w:val="24"/>
          <w:szCs w:val="24"/>
        </w:rPr>
        <w:t> </w:t>
      </w:r>
      <w:r>
        <w:rPr>
          <w:rFonts w:ascii="Times New Roman" w:hAnsi="Times New Roman" w:cs="Times New Roman"/>
          <w:sz w:val="24"/>
          <w:szCs w:val="24"/>
        </w:rPr>
        <w:t>ficar sem realizar algumas atividades adminsitrativa por falta de material de expediente</w:t>
      </w:r>
      <w:r w:rsidRPr="00B30D64">
        <w:rPr>
          <w:rFonts w:ascii="Times New Roman" w:hAnsi="Times New Roman" w:cs="Times New Roman"/>
          <w:sz w:val="24"/>
          <w:szCs w:val="24"/>
        </w:rPr>
        <w:t xml:space="preserve">. </w:t>
      </w:r>
    </w:p>
    <w:p w14:paraId="3AC77514" w14:textId="77777777" w:rsidR="00B30D64" w:rsidRDefault="00B30D64">
      <w:pPr>
        <w:widowControl/>
        <w:jc w:val="both"/>
        <w:rPr>
          <w:rFonts w:ascii="Times New Roman" w:hAnsi="Times New Roman" w:cs="Times New Roman"/>
          <w:sz w:val="24"/>
          <w:szCs w:val="24"/>
        </w:rPr>
      </w:pPr>
    </w:p>
    <w:p w14:paraId="79F109EA" w14:textId="77777777" w:rsidR="00B30D64" w:rsidRDefault="00B30D64">
      <w:pPr>
        <w:widowControl/>
        <w:jc w:val="both"/>
        <w:rPr>
          <w:rFonts w:ascii="Times New Roman" w:hAnsi="Times New Roman" w:cs="Times New Roman"/>
          <w:sz w:val="24"/>
          <w:szCs w:val="24"/>
        </w:rPr>
      </w:pPr>
      <w:r w:rsidRPr="00B30D64">
        <w:rPr>
          <w:rFonts w:ascii="Times New Roman" w:hAnsi="Times New Roman" w:cs="Times New Roman"/>
          <w:sz w:val="24"/>
          <w:szCs w:val="24"/>
        </w:rPr>
        <w:t xml:space="preserve">2.2.  </w:t>
      </w:r>
      <w:r w:rsidRPr="00B30D64">
        <w:rPr>
          <w:rFonts w:ascii="Times New Roman" w:hAnsi="Times New Roman" w:cs="Times New Roman"/>
          <w:b/>
          <w:bCs/>
          <w:sz w:val="24"/>
          <w:szCs w:val="24"/>
        </w:rPr>
        <w:t>Motivos</w:t>
      </w:r>
      <w:r w:rsidRPr="00B30D64">
        <w:rPr>
          <w:rFonts w:ascii="Times New Roman" w:hAnsi="Times New Roman" w:cs="Times New Roman"/>
          <w:sz w:val="24"/>
          <w:szCs w:val="24"/>
        </w:rPr>
        <w:t xml:space="preserve"> do problema(s) a ser(em) resolvido(s): </w:t>
      </w:r>
    </w:p>
    <w:p w14:paraId="08073B28" w14:textId="30E7E53B" w:rsidR="00B30D64" w:rsidRPr="00B30D64" w:rsidRDefault="00B30D64" w:rsidP="00B30D64">
      <w:pPr>
        <w:pStyle w:val="PargrafodaLista"/>
        <w:widowControl/>
        <w:numPr>
          <w:ilvl w:val="0"/>
          <w:numId w:val="2"/>
        </w:numPr>
        <w:rPr>
          <w:rFonts w:ascii="Times New Roman" w:hAnsi="Times New Roman" w:cs="Times New Roman"/>
          <w:sz w:val="24"/>
          <w:szCs w:val="24"/>
        </w:rPr>
      </w:pPr>
      <w:r w:rsidRPr="00B30D64">
        <w:rPr>
          <w:rFonts w:ascii="Times New Roman" w:hAnsi="Times New Roman" w:cs="Times New Roman"/>
          <w:b/>
          <w:bCs/>
          <w:sz w:val="24"/>
          <w:szCs w:val="24"/>
        </w:rPr>
        <w:t>morosidade </w:t>
      </w:r>
      <w:r w:rsidRPr="00B30D64">
        <w:rPr>
          <w:rFonts w:ascii="Times New Roman" w:hAnsi="Times New Roman" w:cs="Times New Roman"/>
          <w:sz w:val="24"/>
          <w:szCs w:val="24"/>
        </w:rPr>
        <w:t xml:space="preserve">na conclusão das licitações oriundas de aquisições </w:t>
      </w:r>
      <w:r>
        <w:rPr>
          <w:rFonts w:ascii="Times New Roman" w:hAnsi="Times New Roman" w:cs="Times New Roman"/>
          <w:sz w:val="24"/>
          <w:szCs w:val="24"/>
        </w:rPr>
        <w:t>solicitadas pelos setores requisitantes.</w:t>
      </w:r>
    </w:p>
    <w:p w14:paraId="6157B1B2" w14:textId="0ED1ABA7" w:rsidR="00B30D64" w:rsidRPr="00B30D64" w:rsidRDefault="00B30D64" w:rsidP="00B30D64">
      <w:pPr>
        <w:pStyle w:val="PargrafodaLista"/>
        <w:widowControl/>
        <w:numPr>
          <w:ilvl w:val="0"/>
          <w:numId w:val="2"/>
        </w:numPr>
        <w:rPr>
          <w:rFonts w:ascii="Times New Roman" w:hAnsi="Times New Roman" w:cs="Times New Roman"/>
          <w:sz w:val="24"/>
          <w:szCs w:val="24"/>
        </w:rPr>
      </w:pPr>
      <w:r w:rsidRPr="00B30D64">
        <w:rPr>
          <w:rFonts w:ascii="Times New Roman" w:hAnsi="Times New Roman" w:cs="Times New Roman"/>
          <w:b/>
          <w:bCs/>
          <w:sz w:val="24"/>
          <w:szCs w:val="24"/>
        </w:rPr>
        <w:t>suspensões</w:t>
      </w:r>
      <w:r w:rsidRPr="00B30D64">
        <w:rPr>
          <w:rFonts w:ascii="Times New Roman" w:hAnsi="Times New Roman" w:cs="Times New Roman"/>
          <w:sz w:val="24"/>
          <w:szCs w:val="24"/>
        </w:rPr>
        <w:t> </w:t>
      </w:r>
      <w:r w:rsidR="005A41A3">
        <w:rPr>
          <w:rFonts w:ascii="Times New Roman" w:hAnsi="Times New Roman" w:cs="Times New Roman"/>
          <w:sz w:val="24"/>
          <w:szCs w:val="24"/>
        </w:rPr>
        <w:t>devido a possivel reformulação orçamentária</w:t>
      </w:r>
      <w:r w:rsidRPr="00B30D64">
        <w:rPr>
          <w:rFonts w:ascii="Times New Roman" w:hAnsi="Times New Roman" w:cs="Times New Roman"/>
          <w:sz w:val="24"/>
          <w:szCs w:val="24"/>
        </w:rPr>
        <w:t xml:space="preserve">; </w:t>
      </w:r>
    </w:p>
    <w:p w14:paraId="2D5D75B6" w14:textId="2C52870A" w:rsidR="00B30D64" w:rsidRPr="00B30D64" w:rsidRDefault="00B30D64" w:rsidP="00B30D64">
      <w:pPr>
        <w:pStyle w:val="PargrafodaLista"/>
        <w:widowControl/>
        <w:numPr>
          <w:ilvl w:val="0"/>
          <w:numId w:val="2"/>
        </w:numPr>
        <w:rPr>
          <w:rFonts w:ascii="Times New Roman" w:hAnsi="Times New Roman" w:cs="Times New Roman"/>
          <w:sz w:val="24"/>
          <w:szCs w:val="24"/>
        </w:rPr>
      </w:pPr>
      <w:r w:rsidRPr="00B30D64">
        <w:rPr>
          <w:rFonts w:ascii="Times New Roman" w:hAnsi="Times New Roman" w:cs="Times New Roman"/>
          <w:b/>
          <w:bCs/>
          <w:sz w:val="24"/>
          <w:szCs w:val="24"/>
        </w:rPr>
        <w:t>Ausência</w:t>
      </w:r>
      <w:r w:rsidRPr="00B30D64">
        <w:rPr>
          <w:rFonts w:ascii="Times New Roman" w:hAnsi="Times New Roman" w:cs="Times New Roman"/>
          <w:sz w:val="24"/>
          <w:szCs w:val="24"/>
        </w:rPr>
        <w:t xml:space="preserve"> de </w:t>
      </w:r>
      <w:r w:rsidR="005A41A3">
        <w:rPr>
          <w:rFonts w:ascii="Times New Roman" w:hAnsi="Times New Roman" w:cs="Times New Roman"/>
          <w:sz w:val="24"/>
          <w:szCs w:val="24"/>
        </w:rPr>
        <w:t xml:space="preserve">atas de registro de preços </w:t>
      </w:r>
      <w:r w:rsidRPr="00B30D64">
        <w:rPr>
          <w:rFonts w:ascii="Times New Roman" w:hAnsi="Times New Roman" w:cs="Times New Roman"/>
          <w:sz w:val="24"/>
          <w:szCs w:val="24"/>
        </w:rPr>
        <w:t>vigentes</w:t>
      </w:r>
      <w:r w:rsidR="005A41A3">
        <w:rPr>
          <w:rFonts w:ascii="Times New Roman" w:hAnsi="Times New Roman" w:cs="Times New Roman"/>
          <w:sz w:val="24"/>
          <w:szCs w:val="24"/>
        </w:rPr>
        <w:t>;</w:t>
      </w:r>
      <w:r w:rsidRPr="00B30D64">
        <w:rPr>
          <w:rFonts w:ascii="Times New Roman" w:hAnsi="Times New Roman" w:cs="Times New Roman"/>
          <w:sz w:val="24"/>
          <w:szCs w:val="24"/>
        </w:rPr>
        <w:t xml:space="preserve"> </w:t>
      </w:r>
    </w:p>
    <w:p w14:paraId="54A539BF" w14:textId="77777777" w:rsidR="00B30D64" w:rsidRDefault="00B30D64">
      <w:pPr>
        <w:widowControl/>
        <w:jc w:val="both"/>
        <w:rPr>
          <w:rFonts w:ascii="Times New Roman" w:hAnsi="Times New Roman" w:cs="Times New Roman"/>
          <w:sz w:val="24"/>
          <w:szCs w:val="24"/>
        </w:rPr>
      </w:pPr>
    </w:p>
    <w:p w14:paraId="22A2BBD8" w14:textId="5AD740F9" w:rsidR="00B30D64" w:rsidRDefault="00B30D64">
      <w:pPr>
        <w:widowControl/>
        <w:jc w:val="both"/>
        <w:rPr>
          <w:rFonts w:ascii="Times New Roman" w:hAnsi="Times New Roman" w:cs="Times New Roman"/>
          <w:sz w:val="24"/>
          <w:szCs w:val="24"/>
        </w:rPr>
      </w:pPr>
      <w:r w:rsidRPr="00B30D64">
        <w:rPr>
          <w:rFonts w:ascii="Times New Roman" w:hAnsi="Times New Roman" w:cs="Times New Roman"/>
          <w:sz w:val="24"/>
          <w:szCs w:val="24"/>
        </w:rPr>
        <w:t xml:space="preserve">2.3.  </w:t>
      </w:r>
      <w:r w:rsidRPr="005A41A3">
        <w:rPr>
          <w:rFonts w:ascii="Times New Roman" w:hAnsi="Times New Roman" w:cs="Times New Roman"/>
          <w:b/>
          <w:bCs/>
          <w:sz w:val="24"/>
          <w:szCs w:val="24"/>
        </w:rPr>
        <w:t>Objetivos gerais imediatos da contratação</w:t>
      </w:r>
      <w:r w:rsidRPr="00B30D64">
        <w:rPr>
          <w:rFonts w:ascii="Times New Roman" w:hAnsi="Times New Roman" w:cs="Times New Roman"/>
          <w:sz w:val="24"/>
          <w:szCs w:val="24"/>
        </w:rPr>
        <w:t>: continuidade dos serviços administrativos; ajustar o planejamento futuro de compras; adequar os estoques em virtude do consumo médio dos itens;</w:t>
      </w:r>
      <w:r w:rsidR="005A41A3">
        <w:rPr>
          <w:rFonts w:ascii="Times New Roman" w:hAnsi="Times New Roman" w:cs="Times New Roman"/>
          <w:sz w:val="24"/>
          <w:szCs w:val="24"/>
        </w:rPr>
        <w:t xml:space="preserve"> O SLP ter o controle do estoque com eficácia</w:t>
      </w:r>
    </w:p>
    <w:p w14:paraId="013687D6" w14:textId="77777777" w:rsidR="005A41A3" w:rsidRDefault="005A41A3">
      <w:pPr>
        <w:widowControl/>
        <w:jc w:val="both"/>
        <w:rPr>
          <w:rFonts w:ascii="Times New Roman" w:hAnsi="Times New Roman" w:cs="Times New Roman"/>
          <w:sz w:val="24"/>
          <w:szCs w:val="24"/>
        </w:rPr>
      </w:pPr>
    </w:p>
    <w:p w14:paraId="23DFD4F1" w14:textId="77777777" w:rsidR="005B2CB5" w:rsidRDefault="00BE53A8">
      <w:pPr>
        <w:widowControl/>
        <w:jc w:val="both"/>
        <w:rPr>
          <w:rFonts w:ascii="Times New Roman" w:hAnsi="Times New Roman" w:cs="Times New Roman"/>
          <w:b/>
          <w:bCs/>
          <w:sz w:val="24"/>
          <w:szCs w:val="24"/>
        </w:rPr>
      </w:pPr>
      <w:r>
        <w:rPr>
          <w:rFonts w:ascii="Times New Roman" w:hAnsi="Times New Roman" w:cs="Times New Roman"/>
          <w:b/>
          <w:bCs/>
          <w:sz w:val="24"/>
          <w:szCs w:val="24"/>
        </w:rPr>
        <w:t>3. ÁREA REQUISITANTE</w:t>
      </w:r>
    </w:p>
    <w:p w14:paraId="5CF8F731" w14:textId="77777777" w:rsidR="005B2CB5" w:rsidRDefault="005B2CB5">
      <w:pPr>
        <w:widowControl/>
        <w:jc w:val="both"/>
        <w:rPr>
          <w:rFonts w:ascii="Times New Roman" w:hAnsi="Times New Roman" w:cs="Times New Roman"/>
          <w:sz w:val="24"/>
          <w:szCs w:val="24"/>
        </w:rPr>
      </w:pPr>
    </w:p>
    <w:tbl>
      <w:tblPr>
        <w:tblStyle w:val="Tabelacomgrade"/>
        <w:tblW w:w="0" w:type="auto"/>
        <w:tblInd w:w="0" w:type="dxa"/>
        <w:tblLook w:val="04A0" w:firstRow="1" w:lastRow="0" w:firstColumn="1" w:lastColumn="0" w:noHBand="0" w:noVBand="1"/>
      </w:tblPr>
      <w:tblGrid>
        <w:gridCol w:w="4836"/>
        <w:gridCol w:w="4835"/>
      </w:tblGrid>
      <w:tr w:rsidR="005B2CB5" w14:paraId="562AB933" w14:textId="77777777">
        <w:tc>
          <w:tcPr>
            <w:tcW w:w="4837" w:type="dxa"/>
          </w:tcPr>
          <w:p w14:paraId="5630043E" w14:textId="77777777" w:rsidR="005B2CB5" w:rsidRDefault="00BE53A8">
            <w:pPr>
              <w:widowControl/>
              <w:jc w:val="both"/>
              <w:rPr>
                <w:rFonts w:ascii="Times New Roman" w:hAnsi="Times New Roman" w:cs="Times New Roman"/>
                <w:b/>
                <w:bCs/>
                <w:sz w:val="24"/>
                <w:szCs w:val="24"/>
              </w:rPr>
            </w:pPr>
            <w:r>
              <w:rPr>
                <w:rFonts w:ascii="Times New Roman" w:hAnsi="Times New Roman" w:cs="Times New Roman"/>
                <w:b/>
                <w:bCs/>
                <w:sz w:val="24"/>
                <w:szCs w:val="24"/>
              </w:rPr>
              <w:t>Área Requisitante</w:t>
            </w:r>
          </w:p>
        </w:tc>
        <w:tc>
          <w:tcPr>
            <w:tcW w:w="4837" w:type="dxa"/>
          </w:tcPr>
          <w:p w14:paraId="0B1F9884" w14:textId="77777777" w:rsidR="005B2CB5" w:rsidRDefault="00BE53A8">
            <w:pPr>
              <w:widowControl/>
              <w:jc w:val="both"/>
              <w:rPr>
                <w:rFonts w:ascii="Times New Roman" w:hAnsi="Times New Roman" w:cs="Times New Roman"/>
                <w:b/>
                <w:bCs/>
                <w:sz w:val="24"/>
                <w:szCs w:val="24"/>
              </w:rPr>
            </w:pPr>
            <w:r>
              <w:rPr>
                <w:rFonts w:ascii="Times New Roman" w:hAnsi="Times New Roman" w:cs="Times New Roman"/>
                <w:b/>
                <w:bCs/>
                <w:sz w:val="24"/>
                <w:szCs w:val="24"/>
              </w:rPr>
              <w:t>Responsável</w:t>
            </w:r>
          </w:p>
        </w:tc>
      </w:tr>
      <w:tr w:rsidR="005B2CB5" w14:paraId="6ACECC5C" w14:textId="77777777">
        <w:tc>
          <w:tcPr>
            <w:tcW w:w="4837" w:type="dxa"/>
          </w:tcPr>
          <w:p w14:paraId="400FAAAD" w14:textId="77777777" w:rsidR="005B2CB5" w:rsidRDefault="00BE53A8">
            <w:pPr>
              <w:widowControl/>
              <w:jc w:val="both"/>
              <w:rPr>
                <w:rFonts w:ascii="Times New Roman" w:hAnsi="Times New Roman" w:cs="Times New Roman"/>
                <w:sz w:val="24"/>
                <w:szCs w:val="24"/>
              </w:rPr>
            </w:pPr>
            <w:r>
              <w:rPr>
                <w:rFonts w:ascii="Times New Roman" w:hAnsi="Times New Roman" w:cs="Times New Roman"/>
                <w:sz w:val="24"/>
                <w:szCs w:val="24"/>
              </w:rPr>
              <w:t>Setor de Logística e Patrimônio</w:t>
            </w:r>
          </w:p>
        </w:tc>
        <w:tc>
          <w:tcPr>
            <w:tcW w:w="4837" w:type="dxa"/>
          </w:tcPr>
          <w:p w14:paraId="34137DD3" w14:textId="77777777" w:rsidR="005B2CB5" w:rsidRDefault="00BE53A8">
            <w:pPr>
              <w:widowControl/>
              <w:jc w:val="both"/>
              <w:rPr>
                <w:rFonts w:ascii="Times New Roman" w:hAnsi="Times New Roman" w:cs="Times New Roman"/>
                <w:sz w:val="24"/>
                <w:szCs w:val="24"/>
              </w:rPr>
            </w:pPr>
            <w:bookmarkStart w:id="0" w:name="_Hlk188442913"/>
            <w:proofErr w:type="spellStart"/>
            <w:r>
              <w:rPr>
                <w:rFonts w:ascii="Times New Roman" w:hAnsi="Times New Roman" w:cs="Times New Roman"/>
                <w:sz w:val="24"/>
                <w:szCs w:val="24"/>
              </w:rPr>
              <w:t>Kennder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Higo</w:t>
            </w:r>
            <w:proofErr w:type="spellEnd"/>
            <w:r>
              <w:rPr>
                <w:rFonts w:ascii="Times New Roman" w:hAnsi="Times New Roman" w:cs="Times New Roman"/>
                <w:sz w:val="24"/>
                <w:szCs w:val="24"/>
              </w:rPr>
              <w:t xml:space="preserve"> de Arruda</w:t>
            </w:r>
            <w:bookmarkEnd w:id="0"/>
          </w:p>
        </w:tc>
      </w:tr>
    </w:tbl>
    <w:p w14:paraId="1A82D4EB" w14:textId="77777777" w:rsidR="005B2CB5" w:rsidRDefault="005B2CB5">
      <w:pPr>
        <w:widowControl/>
        <w:jc w:val="both"/>
        <w:rPr>
          <w:rFonts w:ascii="Times New Roman" w:hAnsi="Times New Roman" w:cs="Times New Roman"/>
          <w:sz w:val="24"/>
          <w:szCs w:val="24"/>
        </w:rPr>
      </w:pPr>
    </w:p>
    <w:p w14:paraId="282EF9A3" w14:textId="77777777" w:rsidR="005B2CB5" w:rsidRPr="0075495E" w:rsidRDefault="00BE53A8" w:rsidP="00B73BBC">
      <w:pPr>
        <w:pStyle w:val="TableParagraph"/>
      </w:pPr>
      <w:r>
        <w:t xml:space="preserve">4. </w:t>
      </w:r>
      <w:r w:rsidRPr="00B73BBC">
        <w:rPr>
          <w:b/>
          <w:bCs/>
        </w:rPr>
        <w:t>DESCRIÇÃO DOS REQUISITOS DA CONTRATAÇÃO</w:t>
      </w:r>
      <w:r w:rsidRPr="0075495E">
        <w:t xml:space="preserve"> </w:t>
      </w:r>
    </w:p>
    <w:p w14:paraId="4172364B" w14:textId="1B8CB912" w:rsidR="005A41A3" w:rsidRDefault="005A41A3" w:rsidP="00B73BBC">
      <w:pPr>
        <w:pStyle w:val="TableParagraph"/>
        <w:rPr>
          <w:b/>
          <w:bCs/>
        </w:rPr>
      </w:pPr>
      <w:r w:rsidRPr="005A41A3">
        <w:t xml:space="preserve">4.1.  </w:t>
      </w:r>
      <w:r w:rsidR="0075495E" w:rsidRPr="005A41A3">
        <w:t xml:space="preserve">Características Mínimas </w:t>
      </w:r>
      <w:r w:rsidR="0075495E">
        <w:t>d</w:t>
      </w:r>
      <w:r w:rsidR="0075495E" w:rsidRPr="005A41A3">
        <w:t>o(</w:t>
      </w:r>
      <w:r w:rsidR="0075495E">
        <w:t>s</w:t>
      </w:r>
      <w:r w:rsidR="0075495E" w:rsidRPr="005A41A3">
        <w:t>) Objeto(</w:t>
      </w:r>
      <w:r w:rsidR="0075495E">
        <w:t>s</w:t>
      </w:r>
      <w:r w:rsidR="0075495E" w:rsidRPr="005A41A3">
        <w:t xml:space="preserve">) </w:t>
      </w:r>
    </w:p>
    <w:p w14:paraId="0324116C" w14:textId="77777777" w:rsidR="005A41A3" w:rsidRDefault="005A41A3" w:rsidP="00B73BBC">
      <w:pPr>
        <w:pStyle w:val="TableParagraph"/>
        <w:rPr>
          <w:b/>
          <w:bCs/>
        </w:rPr>
      </w:pPr>
      <w:r w:rsidRPr="005A41A3">
        <w:t xml:space="preserve">4.1.1.  Qualidade; </w:t>
      </w:r>
    </w:p>
    <w:p w14:paraId="028F87A3" w14:textId="77777777" w:rsidR="005A41A3" w:rsidRDefault="005A41A3" w:rsidP="00B73BBC">
      <w:pPr>
        <w:pStyle w:val="TableParagraph"/>
        <w:rPr>
          <w:b/>
          <w:bCs/>
        </w:rPr>
      </w:pPr>
      <w:r w:rsidRPr="005A41A3">
        <w:t xml:space="preserve">4.1.2.  Segurança; </w:t>
      </w:r>
    </w:p>
    <w:p w14:paraId="2A1F553D" w14:textId="77777777" w:rsidR="005A41A3" w:rsidRDefault="005A41A3" w:rsidP="00B73BBC">
      <w:pPr>
        <w:pStyle w:val="TableParagraph"/>
        <w:rPr>
          <w:b/>
          <w:bCs/>
        </w:rPr>
      </w:pPr>
      <w:r w:rsidRPr="005A41A3">
        <w:lastRenderedPageBreak/>
        <w:t xml:space="preserve">4.1.3.  Eficiência; </w:t>
      </w:r>
    </w:p>
    <w:p w14:paraId="538386E8" w14:textId="77777777" w:rsidR="005A41A3" w:rsidRDefault="005A41A3" w:rsidP="00B73BBC">
      <w:pPr>
        <w:pStyle w:val="TableParagraph"/>
        <w:rPr>
          <w:b/>
          <w:bCs/>
        </w:rPr>
      </w:pPr>
      <w:r w:rsidRPr="005A41A3">
        <w:t xml:space="preserve">4.1.4.  Garantia de fabricação; </w:t>
      </w:r>
    </w:p>
    <w:p w14:paraId="265B2BCD" w14:textId="0F15D470" w:rsidR="005B2CB5" w:rsidRDefault="005A41A3" w:rsidP="00B73BBC">
      <w:pPr>
        <w:pStyle w:val="TableParagraph"/>
      </w:pPr>
      <w:r w:rsidRPr="005A41A3">
        <w:t>4.1.5.  Cumprimento das normas de segurança.</w:t>
      </w:r>
    </w:p>
    <w:p w14:paraId="6474FF5D" w14:textId="77777777" w:rsidR="00E663B8" w:rsidRDefault="00E663B8" w:rsidP="00B73BBC">
      <w:pPr>
        <w:pStyle w:val="TableParagraph"/>
        <w:rPr>
          <w:b/>
          <w:bCs/>
        </w:rPr>
      </w:pPr>
    </w:p>
    <w:p w14:paraId="3BDE2B04" w14:textId="77777777" w:rsidR="005A41A3" w:rsidRPr="005A41A3" w:rsidRDefault="005A41A3" w:rsidP="00B73BBC">
      <w:pPr>
        <w:pStyle w:val="TableParagraph"/>
      </w:pPr>
      <w:r w:rsidRPr="005A41A3">
        <w:t xml:space="preserve">4.2.  </w:t>
      </w:r>
      <w:r w:rsidRPr="00B73BBC">
        <w:rPr>
          <w:b/>
          <w:bCs/>
        </w:rPr>
        <w:t>QUALIFICAÇÃO TÉCNICA DO FORNECEDOR</w:t>
      </w:r>
      <w:r w:rsidRPr="005A41A3">
        <w:t xml:space="preserve"> </w:t>
      </w:r>
    </w:p>
    <w:p w14:paraId="2B942AB7" w14:textId="77777777" w:rsidR="00B73BBC" w:rsidRPr="00B73BBC" w:rsidRDefault="00B73BBC" w:rsidP="00B73BBC">
      <w:pPr>
        <w:pStyle w:val="TableParagraph"/>
      </w:pPr>
      <w:r w:rsidRPr="00B73BBC">
        <w:t xml:space="preserve">O </w:t>
      </w:r>
      <w:hyperlink r:id="rId7" w:history="1">
        <w:r w:rsidRPr="00B73BBC">
          <w:rPr>
            <w:rStyle w:val="Hyperlink"/>
          </w:rPr>
          <w:t>art. 67 da Lei nº 14.133, de 2021</w:t>
        </w:r>
      </w:hyperlink>
      <w:r w:rsidRPr="00B73BBC">
        <w:t xml:space="preserve">, não estabelece exigências de qualificação técnico-operacional ou técnico-profissional para o caso de contratações cujo objeto seja a aquisição de bens, tratando o dispositivo legal apenas das exigências pertinentes às obras e serviços. </w:t>
      </w:r>
    </w:p>
    <w:p w14:paraId="4D95450F" w14:textId="6CE78BCD" w:rsidR="005A41A3" w:rsidRDefault="00B73BBC" w:rsidP="00B73BBC">
      <w:pPr>
        <w:pStyle w:val="TableParagraph"/>
      </w:pPr>
      <w:r>
        <w:t xml:space="preserve"> </w:t>
      </w:r>
    </w:p>
    <w:p w14:paraId="7F33A49D" w14:textId="77777777" w:rsidR="005A41A3" w:rsidRPr="005A41A3" w:rsidRDefault="005A41A3" w:rsidP="00B73BBC">
      <w:pPr>
        <w:pStyle w:val="TableParagraph"/>
      </w:pPr>
      <w:r w:rsidRPr="005A41A3">
        <w:t xml:space="preserve">4.3.  </w:t>
      </w:r>
      <w:r w:rsidRPr="00B73BBC">
        <w:rPr>
          <w:b/>
          <w:bCs/>
        </w:rPr>
        <w:t xml:space="preserve">SUBCONTRATAÇÃO </w:t>
      </w:r>
    </w:p>
    <w:p w14:paraId="17A2418D" w14:textId="77777777" w:rsidR="008D414D" w:rsidRDefault="005A41A3" w:rsidP="00B73BBC">
      <w:pPr>
        <w:pStyle w:val="TableParagraph"/>
      </w:pPr>
      <w:r w:rsidRPr="005A41A3">
        <w:t xml:space="preserve">Será vedada a subcontratação, tendo em vista o vasto mercado consumidor apto a fornecer o objeto contratado, de modo que a permissibilidade da hipótese incorreria em ofensa ao caráter competitivo da disputa pelo menor preço e em incentivo ao sistema burocrático, pela necessidade de gerar outros instrumentos contratuais e consequentemente outras atribuições à administração pública, em ofensa ao princípio da eficiência, consubstanciado no </w:t>
      </w:r>
      <w:proofErr w:type="spellStart"/>
      <w:proofErr w:type="gramStart"/>
      <w:r w:rsidRPr="005A41A3">
        <w:t>art</w:t>
      </w:r>
      <w:proofErr w:type="spellEnd"/>
      <w:r w:rsidRPr="005A41A3">
        <w:t xml:space="preserve"> .</w:t>
      </w:r>
      <w:proofErr w:type="gramEnd"/>
      <w:r w:rsidRPr="005A41A3">
        <w:t xml:space="preserve"> 37, caput, da CF/88 e previsto no art. 122 da Lei 14.133/2021. </w:t>
      </w:r>
    </w:p>
    <w:p w14:paraId="5625D0D9" w14:textId="77777777" w:rsidR="008D414D" w:rsidRDefault="008D414D" w:rsidP="00B73BBC">
      <w:pPr>
        <w:pStyle w:val="TableParagraph"/>
      </w:pPr>
    </w:p>
    <w:p w14:paraId="44886069" w14:textId="46B984BB" w:rsidR="005A41A3" w:rsidRDefault="005A41A3" w:rsidP="00B73BBC">
      <w:pPr>
        <w:pStyle w:val="TableParagraph"/>
      </w:pPr>
      <w:r w:rsidRPr="005A41A3">
        <w:t>Pode incorrer em ofensa ao caráter competitivo da disputa pelo menor preço e gerar custos desnecessários por incentivo a um sistema burocrático.</w:t>
      </w:r>
    </w:p>
    <w:p w14:paraId="78E0DF99" w14:textId="77777777" w:rsidR="008D414D" w:rsidRDefault="008D414D" w:rsidP="00B73BBC">
      <w:pPr>
        <w:pStyle w:val="TableParagraph"/>
      </w:pPr>
    </w:p>
    <w:p w14:paraId="5E9A1955" w14:textId="77777777" w:rsidR="008D414D" w:rsidRDefault="008D414D" w:rsidP="00B73BBC">
      <w:pPr>
        <w:pStyle w:val="TableParagraph"/>
      </w:pPr>
      <w:r w:rsidRPr="008D414D">
        <w:t xml:space="preserve">4.4.  </w:t>
      </w:r>
      <w:r w:rsidRPr="00B73BBC">
        <w:rPr>
          <w:b/>
          <w:bCs/>
        </w:rPr>
        <w:t>CRITÉRIOS E PRÁTICAS DE SUSTENTABILIDADE</w:t>
      </w:r>
      <w:r w:rsidRPr="008D414D">
        <w:t xml:space="preserve"> </w:t>
      </w:r>
    </w:p>
    <w:p w14:paraId="75AB5B2A" w14:textId="77777777" w:rsidR="008D414D" w:rsidRDefault="008D414D" w:rsidP="00B73BBC">
      <w:pPr>
        <w:pStyle w:val="TableParagraph"/>
      </w:pPr>
      <w:r w:rsidRPr="008D414D">
        <w:t xml:space="preserve">Recomenda-se, quando possível, que os materiais atendam ao disposto no art. 7º da Lei Distrital nº 4.770/2012: </w:t>
      </w:r>
    </w:p>
    <w:p w14:paraId="15F41589" w14:textId="77777777" w:rsidR="008D414D" w:rsidRDefault="008D414D" w:rsidP="00B73BBC">
      <w:pPr>
        <w:pStyle w:val="TableParagraph"/>
      </w:pPr>
      <w:r w:rsidRPr="008D414D">
        <w:t xml:space="preserve">I – </w:t>
      </w:r>
      <w:proofErr w:type="gramStart"/>
      <w:r w:rsidRPr="008D414D">
        <w:t>sejam</w:t>
      </w:r>
      <w:proofErr w:type="gramEnd"/>
      <w:r w:rsidRPr="008D414D">
        <w:t xml:space="preserve"> constituídos por material reciclado, atóxico e biodegradável, na forma das normas da Associação Brasileira de Normas Técnicas – ABNT; </w:t>
      </w:r>
    </w:p>
    <w:p w14:paraId="0110030D" w14:textId="77777777" w:rsidR="008D414D" w:rsidRDefault="008D414D" w:rsidP="00B73BBC">
      <w:pPr>
        <w:pStyle w:val="TableParagraph"/>
      </w:pPr>
      <w:r w:rsidRPr="008D414D">
        <w:t xml:space="preserve">II – </w:t>
      </w:r>
      <w:proofErr w:type="gramStart"/>
      <w:r w:rsidRPr="008D414D">
        <w:t>ofereçam</w:t>
      </w:r>
      <w:proofErr w:type="gramEnd"/>
      <w:r w:rsidRPr="008D414D">
        <w:t xml:space="preserve"> menor impacto ambiental em relação aos seus similares; </w:t>
      </w:r>
    </w:p>
    <w:p w14:paraId="0349A2E2" w14:textId="77777777" w:rsidR="008D414D" w:rsidRDefault="008D414D" w:rsidP="00B73BBC">
      <w:pPr>
        <w:pStyle w:val="TableParagraph"/>
      </w:pPr>
      <w:r w:rsidRPr="008D414D">
        <w:t xml:space="preserve">III – não contenham substâncias perigosas acima dos padrões tecnicamente recomendados por organismos nacionais ou internacionais; </w:t>
      </w:r>
    </w:p>
    <w:p w14:paraId="329F2E38" w14:textId="77777777" w:rsidR="008D414D" w:rsidRDefault="008D414D" w:rsidP="00B73BBC">
      <w:pPr>
        <w:pStyle w:val="TableParagraph"/>
      </w:pPr>
      <w:r w:rsidRPr="008D414D">
        <w:t xml:space="preserve">IV – </w:t>
      </w:r>
      <w:proofErr w:type="gramStart"/>
      <w:r w:rsidRPr="008D414D">
        <w:t>estejam</w:t>
      </w:r>
      <w:proofErr w:type="gramEnd"/>
      <w:r w:rsidRPr="008D414D">
        <w:t xml:space="preserve"> acondicionados em embalagem adequada, feita com a utilização de material reci</w:t>
      </w:r>
      <w:r w:rsidRPr="008D414D">
        <w:softHyphen/>
        <w:t xml:space="preserve">clável, com o menor volume possível; </w:t>
      </w:r>
    </w:p>
    <w:p w14:paraId="16AA0E08" w14:textId="3AFA6270" w:rsidR="008D414D" w:rsidRDefault="008D414D" w:rsidP="00B73BBC">
      <w:pPr>
        <w:pStyle w:val="TableParagraph"/>
      </w:pPr>
      <w:r w:rsidRPr="008D414D">
        <w:t xml:space="preserve">V – </w:t>
      </w:r>
      <w:proofErr w:type="gramStart"/>
      <w:r w:rsidRPr="008D414D">
        <w:t>funcionem</w:t>
      </w:r>
      <w:proofErr w:type="gramEnd"/>
      <w:r w:rsidRPr="008D414D">
        <w:t xml:space="preserve"> com baixo consumo de energia ou de água;</w:t>
      </w:r>
    </w:p>
    <w:p w14:paraId="2D2D350D" w14:textId="77777777" w:rsidR="008D414D" w:rsidRDefault="008D414D" w:rsidP="00B73BBC">
      <w:pPr>
        <w:pStyle w:val="TableParagraph"/>
      </w:pPr>
      <w:r w:rsidRPr="008D414D">
        <w:t xml:space="preserve">VI – </w:t>
      </w:r>
      <w:proofErr w:type="gramStart"/>
      <w:r w:rsidRPr="008D414D">
        <w:t>sejam</w:t>
      </w:r>
      <w:proofErr w:type="gramEnd"/>
      <w:r w:rsidRPr="008D414D">
        <w:t xml:space="preserve"> potencialmente menos agressivos ao meio ambiente ou que, em sua produção, sig</w:t>
      </w:r>
      <w:r w:rsidRPr="008D414D">
        <w:softHyphen/>
        <w:t xml:space="preserve">nifiquem economia no consumo de recursos naturais; </w:t>
      </w:r>
    </w:p>
    <w:p w14:paraId="049288B0" w14:textId="77777777" w:rsidR="008D414D" w:rsidRDefault="008D414D" w:rsidP="00B73BBC">
      <w:pPr>
        <w:pStyle w:val="TableParagraph"/>
      </w:pPr>
      <w:r w:rsidRPr="008D414D">
        <w:t xml:space="preserve">VII – possuam certificado emitido pelos órgãos ambientais; </w:t>
      </w:r>
    </w:p>
    <w:p w14:paraId="4A43E975" w14:textId="3A5907F1" w:rsidR="008D414D" w:rsidRPr="005A41A3" w:rsidRDefault="008D414D" w:rsidP="00B73BBC">
      <w:pPr>
        <w:pStyle w:val="TableParagraph"/>
      </w:pPr>
      <w:r w:rsidRPr="008D414D">
        <w:t>VIII – possuam certificação de procedência de produtos.</w:t>
      </w:r>
    </w:p>
    <w:p w14:paraId="12AC1AFC" w14:textId="77777777" w:rsidR="005B2CB5" w:rsidRDefault="005B2CB5" w:rsidP="00B73BBC">
      <w:pPr>
        <w:pStyle w:val="TableParagraph"/>
      </w:pPr>
    </w:p>
    <w:p w14:paraId="02D78036" w14:textId="63AEF775" w:rsidR="008D414D" w:rsidRPr="00423F0E" w:rsidRDefault="0075495E" w:rsidP="00B73BBC">
      <w:pPr>
        <w:pStyle w:val="TableParagraph"/>
      </w:pPr>
      <w:r w:rsidRPr="00B73BBC">
        <w:rPr>
          <w:b/>
          <w:bCs/>
        </w:rPr>
        <w:t>Método de Comprovação</w:t>
      </w:r>
      <w:r w:rsidR="008D414D" w:rsidRPr="00423F0E">
        <w:t>:  </w:t>
      </w:r>
    </w:p>
    <w:p w14:paraId="59ADA956" w14:textId="77777777" w:rsidR="008D414D" w:rsidRDefault="008D414D" w:rsidP="00B73BBC">
      <w:pPr>
        <w:pStyle w:val="TableParagraph"/>
      </w:pPr>
      <w:r w:rsidRPr="008D414D">
        <w:t xml:space="preserve">A comprovação dos critérios de que trata este artigo, quando couber, pode ser feita por meio de </w:t>
      </w:r>
      <w:r w:rsidRPr="008D414D">
        <w:lastRenderedPageBreak/>
        <w:t xml:space="preserve">apresentação de certificação emitida por instituição pública oficial ou instituição credenciada, ou por qualquer outro meio de prova que ateste que o bem fornecido cumpre com as exigências do edital. </w:t>
      </w:r>
    </w:p>
    <w:p w14:paraId="48F6B0B8" w14:textId="205E3897" w:rsidR="008D414D" w:rsidRDefault="008D414D" w:rsidP="00B73BBC">
      <w:pPr>
        <w:pStyle w:val="TableParagraph"/>
      </w:pPr>
      <w:r w:rsidRPr="00423F0E">
        <w:rPr>
          <w:b/>
          <w:bCs/>
        </w:rPr>
        <w:t>DOCUMENTO(S) EXIGIDO(S) NA PRESENTE AQUISIÇÃO:</w:t>
      </w:r>
      <w:r w:rsidRPr="008D414D">
        <w:t> declaração de atendimento aos requisitos de sustentabilidade previstos no art. 2º da Lei Distrital nº 4.770/2012.</w:t>
      </w:r>
    </w:p>
    <w:p w14:paraId="7CD042E4" w14:textId="77777777" w:rsidR="00281042" w:rsidRDefault="00281042" w:rsidP="00B73BBC">
      <w:pPr>
        <w:pStyle w:val="TableParagraph"/>
      </w:pPr>
    </w:p>
    <w:p w14:paraId="1C281145" w14:textId="648927FF" w:rsidR="005B2CB5" w:rsidRPr="008D414D" w:rsidRDefault="008D414D" w:rsidP="00B73BBC">
      <w:pPr>
        <w:pStyle w:val="TableParagraph"/>
      </w:pPr>
      <w:r w:rsidRPr="008D414D">
        <w:t xml:space="preserve">4.5.  </w:t>
      </w:r>
      <w:r w:rsidR="0075495E" w:rsidRPr="008B2D0B">
        <w:t>Análise de Outras Questões Relacionadas ao Planejamento</w:t>
      </w:r>
    </w:p>
    <w:p w14:paraId="4F9A3B16" w14:textId="7F4A40F6" w:rsidR="008D414D" w:rsidRDefault="008D414D" w:rsidP="00B73BBC">
      <w:pPr>
        <w:pStyle w:val="TableParagraph"/>
      </w:pPr>
      <w:r w:rsidRPr="008D414D">
        <w:t>(</w:t>
      </w:r>
      <w:r w:rsidRPr="00423F0E">
        <w:rPr>
          <w:b/>
          <w:bCs/>
        </w:rPr>
        <w:t>Art. 10 IN SEGES 58/2022</w:t>
      </w:r>
      <w:r w:rsidRPr="008D414D">
        <w:t xml:space="preserve">) e Subseção II Diretrizes Gerais para Elaboração do ETP (Decreto Distrital 44.330/2023) </w:t>
      </w:r>
    </w:p>
    <w:p w14:paraId="0F2D823F" w14:textId="5A8C8638" w:rsidR="008D414D" w:rsidRDefault="008D414D" w:rsidP="00B73BBC">
      <w:pPr>
        <w:pStyle w:val="TableParagraph"/>
      </w:pPr>
      <w:r w:rsidRPr="008D414D">
        <w:t xml:space="preserve">4.5.1.  </w:t>
      </w:r>
      <w:r w:rsidRPr="00423F0E">
        <w:rPr>
          <w:b/>
          <w:bCs/>
        </w:rPr>
        <w:t>QUESTÃO 1</w:t>
      </w:r>
      <w:r w:rsidRPr="008D414D">
        <w:t> - Há possibilidade de utilização de mão de obra, materiais, tecnologias e matérias-primas existentes no local da execução, conservação e operação do bem, serviço ou obra, desde que não haja prejuízos à competitividade do processo licitatório e à eficiência do respectivo contrato, nos termos do § 2º do art. 25 da Lei nº 14.133, de 2021?</w:t>
      </w:r>
    </w:p>
    <w:p w14:paraId="3AD5E288" w14:textId="02771FF6" w:rsidR="008D414D" w:rsidRDefault="008D414D" w:rsidP="00B73BBC">
      <w:pPr>
        <w:pStyle w:val="TableParagraph"/>
      </w:pPr>
      <w:proofErr w:type="gramStart"/>
      <w:r w:rsidRPr="008D414D">
        <w:t>(    )</w:t>
      </w:r>
      <w:proofErr w:type="gramEnd"/>
      <w:r w:rsidRPr="008D414D">
        <w:t xml:space="preserve"> Sim. Resultado:</w:t>
      </w:r>
    </w:p>
    <w:p w14:paraId="66966EFE" w14:textId="7F2276DA" w:rsidR="008D414D" w:rsidRDefault="008D414D" w:rsidP="00B73BBC">
      <w:pPr>
        <w:pStyle w:val="TableParagraph"/>
      </w:pPr>
      <w:r w:rsidRPr="008D414D">
        <w:rPr>
          <w:b/>
          <w:bCs/>
        </w:rPr>
        <w:t>(</w:t>
      </w:r>
      <w:proofErr w:type="gramStart"/>
      <w:r w:rsidRPr="008D414D">
        <w:rPr>
          <w:b/>
          <w:bCs/>
        </w:rPr>
        <w:t>X )</w:t>
      </w:r>
      <w:proofErr w:type="gramEnd"/>
      <w:r w:rsidRPr="008D414D">
        <w:rPr>
          <w:b/>
          <w:bCs/>
        </w:rPr>
        <w:t xml:space="preserve"> Não. Justificativa:</w:t>
      </w:r>
      <w:r w:rsidRPr="008D414D">
        <w:t> trata-se de fornecimento de material com fabricação padrão do mercado, cuja obrigação contratual se exaure com a entrega do bem conforme as exigências contidas no termo de referência.</w:t>
      </w:r>
    </w:p>
    <w:p w14:paraId="53EE06E9" w14:textId="77777777" w:rsidR="008B2D0B" w:rsidRDefault="008B2D0B" w:rsidP="00B73BBC">
      <w:pPr>
        <w:pStyle w:val="TableParagraph"/>
      </w:pPr>
    </w:p>
    <w:p w14:paraId="4187ECEC" w14:textId="48933F3E" w:rsidR="005B2CB5" w:rsidRDefault="008D414D" w:rsidP="00B73BBC">
      <w:pPr>
        <w:pStyle w:val="TableParagraph"/>
      </w:pPr>
      <w:r w:rsidRPr="008D414D">
        <w:rPr>
          <w:b/>
          <w:bCs/>
        </w:rPr>
        <w:t>4.5.2.  QUESTÃO 2</w:t>
      </w:r>
      <w:r w:rsidRPr="008D414D">
        <w:t> </w:t>
      </w:r>
      <w:proofErr w:type="gramStart"/>
      <w:r w:rsidRPr="008D414D">
        <w:t>-  Há</w:t>
      </w:r>
      <w:proofErr w:type="gramEnd"/>
      <w:r w:rsidRPr="008D414D">
        <w:t xml:space="preserve"> necessidade de ser exigido, em edital ou em aviso de contratação direta, que os serviços de manutenção e assistência técnica sejam prestados mediante deslocamento de técnico ou disponibilizados em unidade de prestação de serviços localizada em distância compatível com suas necessidades, conforme dispõe o § 4º do art. 40 da Lei nº 14.133, de 2021?</w:t>
      </w:r>
    </w:p>
    <w:p w14:paraId="19538A8B" w14:textId="77777777" w:rsidR="008D414D" w:rsidRDefault="008D414D" w:rsidP="00B73BBC">
      <w:pPr>
        <w:pStyle w:val="TableParagraph"/>
      </w:pPr>
      <w:proofErr w:type="gramStart"/>
      <w:r w:rsidRPr="008D414D">
        <w:t>(    )</w:t>
      </w:r>
      <w:proofErr w:type="gramEnd"/>
      <w:r w:rsidRPr="008D414D">
        <w:t xml:space="preserve"> Sim. Resultado: </w:t>
      </w:r>
    </w:p>
    <w:p w14:paraId="796FDE42" w14:textId="77777777" w:rsidR="005B2CB5" w:rsidRDefault="008D414D" w:rsidP="00B73BBC">
      <w:pPr>
        <w:pStyle w:val="TableParagraph"/>
      </w:pPr>
      <w:proofErr w:type="gramStart"/>
      <w:r w:rsidRPr="008D414D">
        <w:rPr>
          <w:b/>
          <w:bCs/>
        </w:rPr>
        <w:t>( X</w:t>
      </w:r>
      <w:proofErr w:type="gramEnd"/>
      <w:r w:rsidRPr="008D414D">
        <w:rPr>
          <w:b/>
          <w:bCs/>
        </w:rPr>
        <w:t> ) Não. Justificativa:</w:t>
      </w:r>
      <w:r w:rsidRPr="008D414D">
        <w:t> os objetos da aquisição são materiais sem previsão legal de manutenção e assistência técnica.</w:t>
      </w:r>
    </w:p>
    <w:p w14:paraId="17492CDA" w14:textId="77777777" w:rsidR="008D414D" w:rsidRDefault="008D414D" w:rsidP="00B73BBC">
      <w:pPr>
        <w:pStyle w:val="TableParagraph"/>
      </w:pPr>
    </w:p>
    <w:p w14:paraId="35CB4A1E" w14:textId="77777777" w:rsidR="008D414D" w:rsidRDefault="008D414D" w:rsidP="00B73BBC">
      <w:pPr>
        <w:pStyle w:val="TableParagraph"/>
      </w:pPr>
      <w:r w:rsidRPr="008D414D">
        <w:rPr>
          <w:b/>
          <w:bCs/>
        </w:rPr>
        <w:t>4.5.3.  QUESTÃO 3</w:t>
      </w:r>
      <w:r w:rsidRPr="008D414D">
        <w:t xml:space="preserve"> - Há contratações anteriores voltadas ao atendimento de necessidade idêntica ou semelhante à atual, como forma de melhorar a performance contratual, em especial nas contratações de execução continuada ou de fornecimento contínuo de bens e serviços, com base, inclusive, no relatório final de que trata a alínea “d” do inciso VI do § 3º do art. 174 da Lei nº 14.133, de 2021? </w:t>
      </w:r>
    </w:p>
    <w:p w14:paraId="0A46E789" w14:textId="77777777" w:rsidR="008D414D" w:rsidRDefault="008D414D" w:rsidP="00B73BBC">
      <w:pPr>
        <w:pStyle w:val="TableParagraph"/>
      </w:pPr>
      <w:proofErr w:type="gramStart"/>
      <w:r w:rsidRPr="008D414D">
        <w:t>( X</w:t>
      </w:r>
      <w:proofErr w:type="gramEnd"/>
      <w:r w:rsidRPr="008D414D">
        <w:t xml:space="preserve"> ) Sim. Resultado: Todas as aquisições apresentaram êxito quanto à qualidade do material e prazo de entrega. </w:t>
      </w:r>
    </w:p>
    <w:p w14:paraId="29B65E53" w14:textId="77777777" w:rsidR="008D414D" w:rsidRPr="008D414D" w:rsidRDefault="008D414D" w:rsidP="00B73BBC">
      <w:pPr>
        <w:pStyle w:val="TableParagraph"/>
        <w:rPr>
          <w:lang w:val="en-US"/>
        </w:rPr>
      </w:pPr>
      <w:proofErr w:type="gramStart"/>
      <w:r w:rsidRPr="008D414D">
        <w:rPr>
          <w:lang w:val="en-US"/>
        </w:rPr>
        <w:t>(  </w:t>
      </w:r>
      <w:proofErr w:type="gramEnd"/>
      <w:r w:rsidRPr="008D414D">
        <w:rPr>
          <w:lang w:val="en-US"/>
        </w:rPr>
        <w:t xml:space="preserve"> ) </w:t>
      </w:r>
      <w:proofErr w:type="spellStart"/>
      <w:r w:rsidRPr="008D414D">
        <w:rPr>
          <w:lang w:val="en-US"/>
        </w:rPr>
        <w:t>Não</w:t>
      </w:r>
      <w:proofErr w:type="spellEnd"/>
      <w:r w:rsidRPr="008D414D">
        <w:rPr>
          <w:lang w:val="en-US"/>
        </w:rPr>
        <w:t xml:space="preserve">. </w:t>
      </w:r>
      <w:proofErr w:type="spellStart"/>
      <w:r w:rsidRPr="008D414D">
        <w:rPr>
          <w:lang w:val="en-US"/>
        </w:rPr>
        <w:t>Justificativa</w:t>
      </w:r>
      <w:proofErr w:type="spellEnd"/>
      <w:r w:rsidRPr="008D414D">
        <w:rPr>
          <w:lang w:val="en-US"/>
        </w:rPr>
        <w:t>:</w:t>
      </w:r>
    </w:p>
    <w:p w14:paraId="38E55F6C" w14:textId="77777777" w:rsidR="008D414D" w:rsidRDefault="008D414D" w:rsidP="00B73BBC">
      <w:pPr>
        <w:pStyle w:val="TableParagraph"/>
        <w:rPr>
          <w:lang w:val="en-US"/>
        </w:rPr>
      </w:pPr>
    </w:p>
    <w:p w14:paraId="68EF98E9" w14:textId="77777777" w:rsidR="008D414D" w:rsidRPr="008D414D" w:rsidRDefault="008D414D" w:rsidP="00B73BBC">
      <w:pPr>
        <w:pStyle w:val="TableParagraph"/>
        <w:rPr>
          <w:lang w:val="en-US"/>
        </w:rPr>
      </w:pPr>
      <w:r w:rsidRPr="00B73BBC">
        <w:rPr>
          <w:b/>
          <w:bCs/>
          <w:lang w:val="en-US"/>
        </w:rPr>
        <w:t>(Art. 11 IN SEGES 58/2022</w:t>
      </w:r>
      <w:r w:rsidRPr="008D414D">
        <w:rPr>
          <w:lang w:val="en-US"/>
        </w:rPr>
        <w:t xml:space="preserve">) </w:t>
      </w:r>
    </w:p>
    <w:p w14:paraId="1794C682" w14:textId="77777777" w:rsidR="008D414D" w:rsidRDefault="008D414D" w:rsidP="00B73BBC">
      <w:pPr>
        <w:pStyle w:val="TableParagraph"/>
      </w:pPr>
      <w:r w:rsidRPr="008D414D">
        <w:rPr>
          <w:b/>
          <w:bCs/>
        </w:rPr>
        <w:t>4.5.4.  QUESTÃO 4:</w:t>
      </w:r>
      <w:r w:rsidRPr="008D414D">
        <w:t xml:space="preserve">  Há demonstração de avaliação e a ponderação da qualidade técnica das propostas que superarem os requisitos mínimos estabelecidos no edital são relevantes aos fins pretendidos pela Administração para fins de possibilidade de escolha do critério de julgamento de técnica e preço, conforme o disposto no § 1º do art. 36 da Lei nº 14.133, de 2021? </w:t>
      </w:r>
    </w:p>
    <w:p w14:paraId="540E1001" w14:textId="77777777" w:rsidR="008D414D" w:rsidRDefault="008D414D" w:rsidP="00B73BBC">
      <w:pPr>
        <w:pStyle w:val="TableParagraph"/>
      </w:pPr>
      <w:proofErr w:type="gramStart"/>
      <w:r w:rsidRPr="008D414D">
        <w:lastRenderedPageBreak/>
        <w:t>(    )</w:t>
      </w:r>
      <w:proofErr w:type="gramEnd"/>
      <w:r w:rsidRPr="008D414D">
        <w:t xml:space="preserve"> Sim. Resultado:</w:t>
      </w:r>
    </w:p>
    <w:p w14:paraId="2E9AE7F8" w14:textId="77777777" w:rsidR="008D414D" w:rsidRDefault="008D414D" w:rsidP="00B73BBC">
      <w:pPr>
        <w:pStyle w:val="TableParagraph"/>
      </w:pPr>
      <w:r w:rsidRPr="008D414D">
        <w:t>(</w:t>
      </w:r>
      <w:proofErr w:type="gramStart"/>
      <w:r w:rsidRPr="008D414D">
        <w:t>X )</w:t>
      </w:r>
      <w:proofErr w:type="gramEnd"/>
      <w:r w:rsidRPr="008D414D">
        <w:t xml:space="preserve"> </w:t>
      </w:r>
      <w:r w:rsidRPr="008D414D">
        <w:rPr>
          <w:b/>
          <w:bCs/>
        </w:rPr>
        <w:t>Não. Justificativa:</w:t>
      </w:r>
      <w:r w:rsidRPr="008D414D">
        <w:t> trata-se de materiais com padrões de desempenho e qualidade objetivamente definidos conforme as especificações usuais de mercado, que devem seguir, inclusive, às exigências legais. Posto isso, não há necessidade de técnica específica para fabricação dos itens.</w:t>
      </w:r>
    </w:p>
    <w:p w14:paraId="35E91464" w14:textId="77777777" w:rsidR="008D414D" w:rsidRDefault="008D414D" w:rsidP="00B73BBC">
      <w:pPr>
        <w:pStyle w:val="TableParagraph"/>
      </w:pPr>
    </w:p>
    <w:p w14:paraId="7A3CAAA3" w14:textId="77777777" w:rsidR="008D414D" w:rsidRPr="002A5CF0" w:rsidRDefault="008D414D" w:rsidP="00B73BBC">
      <w:pPr>
        <w:pStyle w:val="TableParagraph"/>
      </w:pPr>
      <w:r w:rsidRPr="002A5CF0">
        <w:t>(</w:t>
      </w:r>
      <w:r w:rsidRPr="00B73BBC">
        <w:rPr>
          <w:b/>
          <w:bCs/>
        </w:rPr>
        <w:t>Art. 12 IN SEGES 58/2022)</w:t>
      </w:r>
    </w:p>
    <w:p w14:paraId="13A61267" w14:textId="09EB2B77" w:rsidR="008D414D" w:rsidRPr="008D414D" w:rsidRDefault="008D414D" w:rsidP="00B73BBC">
      <w:pPr>
        <w:pStyle w:val="TableParagraph"/>
      </w:pPr>
      <w:r w:rsidRPr="008D414D">
        <w:t>4.5.5</w:t>
      </w:r>
      <w:r w:rsidR="002A5CF0">
        <w:t xml:space="preserve"> </w:t>
      </w:r>
      <w:r w:rsidRPr="00B73BBC">
        <w:rPr>
          <w:b/>
          <w:bCs/>
        </w:rPr>
        <w:t>QUESTÃO 5</w:t>
      </w:r>
      <w:r w:rsidRPr="008B2D0B">
        <w:t>:</w:t>
      </w:r>
      <w:r w:rsidRPr="00423F0E">
        <w:t> </w:t>
      </w:r>
    </w:p>
    <w:p w14:paraId="175867EB" w14:textId="77777777" w:rsidR="008D414D" w:rsidRDefault="008D414D" w:rsidP="00B73BBC">
      <w:pPr>
        <w:pStyle w:val="TableParagraph"/>
      </w:pPr>
      <w:r w:rsidRPr="008D414D">
        <w:t xml:space="preserve">Foram pesquisadas, no Sistema ETP Digital, os ETP de outras unidades, como forma de identificar soluções semelhantes que possam se adequar à demanda da Administração? </w:t>
      </w:r>
    </w:p>
    <w:p w14:paraId="0CB095E2" w14:textId="05F1A286" w:rsidR="008D414D" w:rsidRDefault="008D414D" w:rsidP="00B73BBC">
      <w:pPr>
        <w:pStyle w:val="TableParagraph"/>
      </w:pPr>
      <w:proofErr w:type="gramStart"/>
      <w:r w:rsidRPr="008D414D">
        <w:t>( X</w:t>
      </w:r>
      <w:proofErr w:type="gramEnd"/>
      <w:r w:rsidRPr="008D414D">
        <w:t xml:space="preserve"> ) Sim. Resultado: foram encontradas diversas soluções semelhantes que se demonstraram adequadas à presente demanda da </w:t>
      </w:r>
      <w:r w:rsidR="002A5CF0">
        <w:t>SLP</w:t>
      </w:r>
      <w:r w:rsidRPr="008D414D">
        <w:t xml:space="preserve">, as quais foram utilizadas como parâmetro no presente ETP. </w:t>
      </w:r>
      <w:r w:rsidR="002A5CF0">
        <w:t xml:space="preserve"> </w:t>
      </w:r>
    </w:p>
    <w:p w14:paraId="635486A2" w14:textId="77777777" w:rsidR="008D414D" w:rsidRDefault="008D414D" w:rsidP="00B73BBC">
      <w:pPr>
        <w:pStyle w:val="TableParagraph"/>
      </w:pPr>
      <w:proofErr w:type="gramStart"/>
      <w:r w:rsidRPr="008D414D">
        <w:t>(  )</w:t>
      </w:r>
      <w:proofErr w:type="gramEnd"/>
      <w:r w:rsidRPr="008D414D">
        <w:t xml:space="preserve"> Não. Justificativa</w:t>
      </w:r>
    </w:p>
    <w:p w14:paraId="1A69DB49" w14:textId="77777777" w:rsidR="008B2D0B" w:rsidRDefault="008B2D0B" w:rsidP="00B73BBC">
      <w:pPr>
        <w:pStyle w:val="TableParagraph"/>
      </w:pPr>
    </w:p>
    <w:p w14:paraId="23A97541" w14:textId="77777777" w:rsidR="005B2CB5" w:rsidRDefault="00BE53A8" w:rsidP="00B73BBC">
      <w:pPr>
        <w:pStyle w:val="TableParagraph"/>
      </w:pPr>
      <w:r>
        <w:t xml:space="preserve">5. </w:t>
      </w:r>
      <w:r w:rsidRPr="00B73BBC">
        <w:rPr>
          <w:b/>
          <w:bCs/>
        </w:rPr>
        <w:t>LEVANTAMENTO DE MERCADO</w:t>
      </w:r>
      <w:r>
        <w:t xml:space="preserve"> </w:t>
      </w:r>
    </w:p>
    <w:p w14:paraId="37040AE5" w14:textId="77777777" w:rsidR="005B2CB5" w:rsidRDefault="00BE53A8" w:rsidP="00B73BBC">
      <w:pPr>
        <w:pStyle w:val="TableParagraph"/>
        <w:rPr>
          <w:b/>
          <w:bCs/>
        </w:rPr>
      </w:pPr>
      <w:r>
        <w:t xml:space="preserve">5.1 Para fins de orçamentação e análise de vantajosidade da solução, foram priorizados os parâmetros previstos nos incisos I (Painel de Preços) e II (contratações similares de outros entes públicos) combinado ao inciso III (pesquisa publicada em mídia especializada, sítios eletrônicos especializados ou de domínio amplo) e/ou ao inciso IV (pesquisas com fornecedores) do art. 5°. </w:t>
      </w:r>
      <w:proofErr w:type="spellStart"/>
      <w:r>
        <w:t>da</w:t>
      </w:r>
      <w:proofErr w:type="spellEnd"/>
      <w:r>
        <w:t xml:space="preserve"> IN n º 73, de 2020. Também foi realizada análise crítica dos preços coletados, verificando a razoabilidade da aferição do preço médio, com a desconsideração dos preços inexequíveis ou excessivamente elevados. Nos casos em que não foi possível o cumprimento integral dos parâmetros indicados pela IN nº 73/2020, os mesmos serão devidamente justificados na formação </w:t>
      </w:r>
    </w:p>
    <w:p w14:paraId="3122BA3A" w14:textId="77777777" w:rsidR="005B2CB5" w:rsidRDefault="00BE53A8" w:rsidP="00B73BBC">
      <w:pPr>
        <w:pStyle w:val="TableParagraph"/>
        <w:rPr>
          <w:b/>
          <w:bCs/>
        </w:rPr>
      </w:pPr>
      <w:r>
        <w:t>do processo.</w:t>
      </w:r>
    </w:p>
    <w:p w14:paraId="1C4EFE0B" w14:textId="77777777" w:rsidR="005B2CB5" w:rsidRDefault="005B2CB5" w:rsidP="00B73BBC">
      <w:pPr>
        <w:pStyle w:val="TableParagraph"/>
      </w:pPr>
    </w:p>
    <w:p w14:paraId="1D749D9A" w14:textId="77777777" w:rsidR="005B2CB5" w:rsidRPr="008B2D0B" w:rsidRDefault="00BE53A8" w:rsidP="00B73BBC">
      <w:pPr>
        <w:pStyle w:val="TableParagraph"/>
      </w:pPr>
      <w:r>
        <w:t xml:space="preserve">5.2 </w:t>
      </w:r>
      <w:r w:rsidRPr="00B73BBC">
        <w:rPr>
          <w:b/>
          <w:bCs/>
        </w:rPr>
        <w:t>Quadro Comparativo de Preços</w:t>
      </w:r>
    </w:p>
    <w:p w14:paraId="14FC9049" w14:textId="24820C3D" w:rsidR="008B2D0B" w:rsidRDefault="00F84B3A" w:rsidP="00B73BBC">
      <w:pPr>
        <w:pStyle w:val="TableParagraph"/>
      </w:pPr>
      <w:r>
        <w:t>5.2.1 Planilha de preço consta</w:t>
      </w:r>
      <w:r w:rsidR="00D36E6D">
        <w:t xml:space="preserve">rá no item 1. do Termo de Referência, anexo do edital. </w:t>
      </w:r>
    </w:p>
    <w:p w14:paraId="4814629F" w14:textId="77777777" w:rsidR="00F84B3A" w:rsidRDefault="00F84B3A" w:rsidP="00B73BBC">
      <w:pPr>
        <w:pStyle w:val="TableParagraph"/>
      </w:pPr>
    </w:p>
    <w:p w14:paraId="722EF171" w14:textId="49712746" w:rsidR="005B2CB5" w:rsidRPr="002A5CF0" w:rsidRDefault="00BE53A8" w:rsidP="00B73BBC">
      <w:pPr>
        <w:pStyle w:val="TableParagraph"/>
      </w:pPr>
      <w:r>
        <w:t xml:space="preserve">6. </w:t>
      </w:r>
      <w:r w:rsidRPr="00B73BBC">
        <w:rPr>
          <w:b/>
          <w:bCs/>
        </w:rPr>
        <w:t>DESCRIÇÃO DA SOLUÇÃO COMO UM TODO</w:t>
      </w:r>
      <w:r w:rsidRPr="002A5CF0">
        <w:t xml:space="preserve"> </w:t>
      </w:r>
    </w:p>
    <w:p w14:paraId="04B155EF" w14:textId="68FD368A" w:rsidR="005B2CB5" w:rsidRPr="002A5CF0" w:rsidRDefault="00BE53A8" w:rsidP="00B73BBC">
      <w:pPr>
        <w:pStyle w:val="TableParagraph"/>
      </w:pPr>
      <w:r>
        <w:t xml:space="preserve">6.1 </w:t>
      </w:r>
      <w:r w:rsidR="002A5CF0" w:rsidRPr="002A5CF0">
        <w:t xml:space="preserve">Após análise de mercado, a recomenda-se a contratação de empresa que forneça de </w:t>
      </w:r>
      <w:r w:rsidR="002A5CF0" w:rsidRPr="002A5CF0">
        <w:rPr>
          <w:b/>
          <w:bCs/>
        </w:rPr>
        <w:t>parcela única</w:t>
      </w:r>
      <w:r w:rsidR="002A5CF0">
        <w:rPr>
          <w:b/>
          <w:bCs/>
        </w:rPr>
        <w:t xml:space="preserve">, </w:t>
      </w:r>
      <w:r w:rsidR="002A5CF0">
        <w:t>considerando</w:t>
      </w:r>
      <w:r w:rsidR="001C75FE">
        <w:t xml:space="preserve"> a quantidade é prevista para o consumo de 6 meses. </w:t>
      </w:r>
    </w:p>
    <w:p w14:paraId="6C703FA8" w14:textId="77777777" w:rsidR="00100579" w:rsidRDefault="00100579" w:rsidP="00B73BBC">
      <w:pPr>
        <w:pStyle w:val="TableParagraph"/>
      </w:pPr>
    </w:p>
    <w:p w14:paraId="593E8CA9" w14:textId="77777777" w:rsidR="005B2CB5" w:rsidRPr="001C75FE" w:rsidRDefault="00BE53A8" w:rsidP="00B73BBC">
      <w:pPr>
        <w:pStyle w:val="TableParagraph"/>
      </w:pPr>
      <w:r w:rsidRPr="001C75FE">
        <w:t>7.</w:t>
      </w:r>
      <w:r>
        <w:t xml:space="preserve"> </w:t>
      </w:r>
      <w:r w:rsidRPr="00B73BBC">
        <w:rPr>
          <w:b/>
          <w:bCs/>
        </w:rPr>
        <w:t>ESTIMATIVA DAS QUANTIDADES A SEREM CONTRATADAS</w:t>
      </w:r>
      <w:r w:rsidRPr="001C75FE">
        <w:t xml:space="preserve"> </w:t>
      </w:r>
    </w:p>
    <w:p w14:paraId="4FA721BC" w14:textId="02CD78B1" w:rsidR="005B2CB5" w:rsidRDefault="00BE53A8" w:rsidP="00B73BBC">
      <w:pPr>
        <w:pStyle w:val="TableParagraph"/>
        <w:rPr>
          <w:b/>
          <w:bCs/>
        </w:rPr>
      </w:pPr>
      <w:r>
        <w:t>7.1</w:t>
      </w:r>
      <w:r w:rsidR="008B2D0B">
        <w:t xml:space="preserve"> </w:t>
      </w:r>
      <w:r w:rsidR="008B2D0B" w:rsidRPr="001C75FE">
        <w:t xml:space="preserve">Para todos os itens foi considerada a necessidade de ressuprimento de estoque dos materiais, para atendimento às demandas pelo prazo médio de </w:t>
      </w:r>
      <w:r w:rsidR="008B2D0B">
        <w:t>06</w:t>
      </w:r>
      <w:r w:rsidR="008B2D0B" w:rsidRPr="001C75FE">
        <w:t> (</w:t>
      </w:r>
      <w:r w:rsidR="008B2D0B">
        <w:t>SEIS)</w:t>
      </w:r>
      <w:r w:rsidR="008B2D0B" w:rsidRPr="001C75FE">
        <w:t xml:space="preserve"> meses, considerando o estoque atual e a média de consumo mensal, conforme histórico de consumo </w:t>
      </w:r>
      <w:r w:rsidR="008B2D0B">
        <w:t>pelo Setor de Logística e Patrimônio</w:t>
      </w:r>
      <w:r>
        <w:t xml:space="preserve">. </w:t>
      </w:r>
    </w:p>
    <w:p w14:paraId="395D1658" w14:textId="77777777" w:rsidR="005B2CB5" w:rsidRDefault="005B2CB5" w:rsidP="00B73BBC">
      <w:pPr>
        <w:pStyle w:val="TableParagraph"/>
      </w:pPr>
    </w:p>
    <w:p w14:paraId="0E67BB20" w14:textId="1D36EE64" w:rsidR="005B2CB5" w:rsidRDefault="008B2D0B" w:rsidP="00B73BBC">
      <w:pPr>
        <w:pStyle w:val="TableParagraph"/>
      </w:pPr>
      <w:r>
        <w:t>8</w:t>
      </w:r>
      <w:r w:rsidR="00BE53A8">
        <w:t xml:space="preserve">. </w:t>
      </w:r>
      <w:r w:rsidR="00BE53A8" w:rsidRPr="00B73BBC">
        <w:rPr>
          <w:b/>
          <w:bCs/>
        </w:rPr>
        <w:t>CONTRATAÇÕES CORRELATAS E/OU INTERDEPENDENTES</w:t>
      </w:r>
      <w:r w:rsidR="00BE53A8">
        <w:t xml:space="preserve"> </w:t>
      </w:r>
    </w:p>
    <w:p w14:paraId="3C82864E" w14:textId="20C5F91B" w:rsidR="005B2CB5" w:rsidRDefault="008B2D0B" w:rsidP="00B73BBC">
      <w:pPr>
        <w:pStyle w:val="TableParagraph"/>
        <w:rPr>
          <w:b/>
          <w:bCs/>
        </w:rPr>
      </w:pPr>
      <w:r>
        <w:t>8</w:t>
      </w:r>
      <w:r w:rsidR="00BE53A8">
        <w:t xml:space="preserve">.1 </w:t>
      </w:r>
      <w:r w:rsidR="001C75FE" w:rsidRPr="001C75FE">
        <w:t xml:space="preserve">A pretensa aquisição dispensa contratações correlatas e/ou interdependentes, visto que a necessidade </w:t>
      </w:r>
      <w:r w:rsidR="001C75FE" w:rsidRPr="001C75FE">
        <w:lastRenderedPageBreak/>
        <w:t>será plenamente atendida pela pretensa contratação</w:t>
      </w:r>
      <w:r w:rsidR="00BE53A8">
        <w:t>.</w:t>
      </w:r>
    </w:p>
    <w:p w14:paraId="1E4C6430" w14:textId="77777777" w:rsidR="005B2CB5" w:rsidRDefault="005B2CB5" w:rsidP="00B73BBC">
      <w:pPr>
        <w:pStyle w:val="TableParagraph"/>
      </w:pPr>
    </w:p>
    <w:p w14:paraId="314468EE" w14:textId="77777777" w:rsidR="00B73BBC" w:rsidRDefault="00B73BBC" w:rsidP="00B73BBC">
      <w:pPr>
        <w:pStyle w:val="TableParagraph"/>
      </w:pPr>
    </w:p>
    <w:p w14:paraId="747DD248" w14:textId="77777777" w:rsidR="00B73BBC" w:rsidRDefault="00B73BBC" w:rsidP="00B73BBC">
      <w:pPr>
        <w:pStyle w:val="TableParagraph"/>
      </w:pPr>
    </w:p>
    <w:p w14:paraId="73AC45B9" w14:textId="3AF7BEA8" w:rsidR="005B2CB5" w:rsidRPr="001C75FE" w:rsidRDefault="00F84B3A" w:rsidP="00B73BBC">
      <w:pPr>
        <w:pStyle w:val="TableParagraph"/>
      </w:pPr>
      <w:r>
        <w:t>9</w:t>
      </w:r>
      <w:r w:rsidR="00BE53A8" w:rsidRPr="001C75FE">
        <w:t xml:space="preserve">. </w:t>
      </w:r>
      <w:r w:rsidR="00BE53A8" w:rsidRPr="00B73BBC">
        <w:rPr>
          <w:b/>
          <w:bCs/>
        </w:rPr>
        <w:t>ALINHAMENTO ENTRE A CONTRATAÇÃO E O PLANEJAMENTO</w:t>
      </w:r>
      <w:r w:rsidR="00BE53A8" w:rsidRPr="001C75FE">
        <w:t xml:space="preserve"> </w:t>
      </w:r>
    </w:p>
    <w:p w14:paraId="32FBC491" w14:textId="4D4ADB9C" w:rsidR="001C75FE" w:rsidRDefault="00F84B3A" w:rsidP="00B73BBC">
      <w:pPr>
        <w:pStyle w:val="TableParagraph"/>
      </w:pPr>
      <w:r>
        <w:t>9</w:t>
      </w:r>
      <w:r w:rsidR="00BE53A8">
        <w:t>.1</w:t>
      </w:r>
      <w:r w:rsidR="001C75FE" w:rsidRPr="001C75FE">
        <w:rPr>
          <w:rFonts w:ascii="Arial MT" w:hAnsi="Arial MT" w:cs="Arial MT"/>
          <w:spacing w:val="0"/>
          <w:sz w:val="22"/>
          <w:szCs w:val="22"/>
        </w:rPr>
        <w:t xml:space="preserve"> </w:t>
      </w:r>
      <w:bookmarkStart w:id="1" w:name="_Hlk179533109"/>
      <w:r w:rsidR="001C75FE" w:rsidRPr="001C75FE">
        <w:t>A pretensa contratação está diretamente alinhada com o Plano de Contratação Anual 202</w:t>
      </w:r>
      <w:r w:rsidR="00D36E6D">
        <w:t>5.</w:t>
      </w:r>
    </w:p>
    <w:p w14:paraId="663F7ED7" w14:textId="77777777" w:rsidR="005B2CB5" w:rsidRDefault="005B2CB5" w:rsidP="00B73BBC">
      <w:pPr>
        <w:pStyle w:val="TableParagraph"/>
      </w:pPr>
    </w:p>
    <w:bookmarkEnd w:id="1"/>
    <w:p w14:paraId="2CF1E8E1" w14:textId="0FEF383E" w:rsidR="005B2CB5" w:rsidRPr="00B30ABE" w:rsidRDefault="00BE53A8" w:rsidP="00B73BBC">
      <w:pPr>
        <w:pStyle w:val="TableParagraph"/>
      </w:pPr>
      <w:r w:rsidRPr="00B30ABE">
        <w:t>1</w:t>
      </w:r>
      <w:r w:rsidR="00F84B3A">
        <w:t>0</w:t>
      </w:r>
      <w:r w:rsidRPr="00B30ABE">
        <w:t xml:space="preserve">. </w:t>
      </w:r>
      <w:r w:rsidRPr="00B73BBC">
        <w:rPr>
          <w:b/>
          <w:bCs/>
        </w:rPr>
        <w:t>RESULTADOS PRETENDIDOS</w:t>
      </w:r>
      <w:r w:rsidRPr="00B30ABE">
        <w:t xml:space="preserve"> </w:t>
      </w:r>
    </w:p>
    <w:p w14:paraId="577FD35B" w14:textId="33D263ED" w:rsidR="005B2CB5" w:rsidRDefault="00F84B3A" w:rsidP="00B73BBC">
      <w:pPr>
        <w:pStyle w:val="TableParagraph"/>
        <w:rPr>
          <w:b/>
          <w:bCs/>
        </w:rPr>
      </w:pPr>
      <w:r>
        <w:t>10</w:t>
      </w:r>
      <w:r w:rsidR="00BE53A8">
        <w:t>.1 Pretende-se contratar os itens descritos nesta solução com o melhor preço, com qualidade que atenda a especificação, correspondendo às necessidades do COREN/MT. Além disso, visa atender ao público, buscando a qualidade do atendimento pretendido.</w:t>
      </w:r>
    </w:p>
    <w:p w14:paraId="5DDC3F2C" w14:textId="77777777" w:rsidR="005B2CB5" w:rsidRDefault="005B2CB5" w:rsidP="00B73BBC">
      <w:pPr>
        <w:pStyle w:val="TableParagraph"/>
      </w:pPr>
    </w:p>
    <w:p w14:paraId="4EE572B3" w14:textId="0AF99FCD" w:rsidR="00B30ABE" w:rsidRPr="00B30ABE" w:rsidRDefault="00B30ABE" w:rsidP="00B73BBC">
      <w:pPr>
        <w:pStyle w:val="TableParagraph"/>
      </w:pPr>
      <w:r w:rsidRPr="00B30ABE">
        <w:t>1</w:t>
      </w:r>
      <w:r w:rsidR="00F84B3A">
        <w:t>1</w:t>
      </w:r>
      <w:r w:rsidRPr="00B30ABE">
        <w:t xml:space="preserve">. </w:t>
      </w:r>
      <w:r w:rsidRPr="00B73BBC">
        <w:rPr>
          <w:b/>
          <w:bCs/>
        </w:rPr>
        <w:t>BENEFÍCIOS A SEREM ALCANÇADOS COM A CONTRATAÇÃO</w:t>
      </w:r>
    </w:p>
    <w:p w14:paraId="57A0C77D" w14:textId="77777777" w:rsidR="00B30ABE" w:rsidRDefault="00B30ABE" w:rsidP="00B73BBC">
      <w:pPr>
        <w:pStyle w:val="TableParagraph"/>
        <w:numPr>
          <w:ilvl w:val="0"/>
          <w:numId w:val="3"/>
        </w:numPr>
      </w:pPr>
      <w:r w:rsidRPr="00B30ABE">
        <w:t xml:space="preserve">reposição de estoque de almoxarifado; </w:t>
      </w:r>
    </w:p>
    <w:p w14:paraId="21A64877" w14:textId="0336B1AF" w:rsidR="00B30ABE" w:rsidRDefault="00B30ABE" w:rsidP="00B73BBC">
      <w:pPr>
        <w:pStyle w:val="TableParagraph"/>
        <w:numPr>
          <w:ilvl w:val="0"/>
          <w:numId w:val="3"/>
        </w:numPr>
      </w:pPr>
      <w:r w:rsidRPr="00B30ABE">
        <w:t xml:space="preserve">apoio logístico às atividades de expediente; </w:t>
      </w:r>
    </w:p>
    <w:p w14:paraId="20E61AAA" w14:textId="644B3FBE" w:rsidR="005B2CB5" w:rsidRPr="00B30ABE" w:rsidRDefault="00B30ABE" w:rsidP="00B73BBC">
      <w:pPr>
        <w:pStyle w:val="TableParagraph"/>
        <w:numPr>
          <w:ilvl w:val="0"/>
          <w:numId w:val="3"/>
        </w:numPr>
      </w:pPr>
      <w:r w:rsidRPr="00B30ABE">
        <w:t>afastar risco de descontinuidade das atividades de expediente</w:t>
      </w:r>
    </w:p>
    <w:p w14:paraId="3699A8E6" w14:textId="77777777" w:rsidR="005B2CB5" w:rsidRDefault="005B2CB5" w:rsidP="00B73BBC">
      <w:pPr>
        <w:pStyle w:val="TableParagraph"/>
      </w:pPr>
    </w:p>
    <w:p w14:paraId="3C41691E" w14:textId="760608C4" w:rsidR="0075495E" w:rsidRPr="0075495E" w:rsidRDefault="0075495E" w:rsidP="00B73BBC">
      <w:pPr>
        <w:pStyle w:val="TableParagraph"/>
      </w:pPr>
      <w:r w:rsidRPr="0075495E">
        <w:t>1</w:t>
      </w:r>
      <w:r w:rsidR="00F84B3A">
        <w:t>2</w:t>
      </w:r>
      <w:r w:rsidRPr="0075495E">
        <w:t xml:space="preserve">. </w:t>
      </w:r>
      <w:r w:rsidRPr="00B73BBC">
        <w:rPr>
          <w:b/>
          <w:bCs/>
        </w:rPr>
        <w:t>PROVIDÊNCIAS A SEREM ADOTADAS</w:t>
      </w:r>
      <w:r w:rsidRPr="0075495E">
        <w:t xml:space="preserve"> </w:t>
      </w:r>
    </w:p>
    <w:p w14:paraId="4834BD9C" w14:textId="56933CBE" w:rsidR="0075495E" w:rsidRDefault="0075495E" w:rsidP="00B73BBC">
      <w:pPr>
        <w:pStyle w:val="TableParagraph"/>
      </w:pPr>
      <w:r w:rsidRPr="0075495E">
        <w:t>1</w:t>
      </w:r>
      <w:r w:rsidR="00F84B3A">
        <w:t>2</w:t>
      </w:r>
      <w:r w:rsidRPr="0075495E">
        <w:t>.1.  Não são necessárias providências adicionais para a presente compra. </w:t>
      </w:r>
    </w:p>
    <w:p w14:paraId="1F5F249D" w14:textId="77777777" w:rsidR="0075495E" w:rsidRDefault="0075495E" w:rsidP="00B73BBC">
      <w:pPr>
        <w:pStyle w:val="TableParagraph"/>
      </w:pPr>
    </w:p>
    <w:p w14:paraId="3FF161C9" w14:textId="0CEC6E55" w:rsidR="005B2CB5" w:rsidRPr="0075495E" w:rsidRDefault="00BE53A8" w:rsidP="00B73BBC">
      <w:pPr>
        <w:pStyle w:val="TableParagraph"/>
      </w:pPr>
      <w:r>
        <w:t>1</w:t>
      </w:r>
      <w:r w:rsidR="00F84B3A">
        <w:t>3</w:t>
      </w:r>
      <w:r>
        <w:t xml:space="preserve">. </w:t>
      </w:r>
      <w:r w:rsidRPr="00B73BBC">
        <w:rPr>
          <w:b/>
          <w:bCs/>
        </w:rPr>
        <w:t>POSSÍVEIS IMPACTOS AMBIENTAIS</w:t>
      </w:r>
    </w:p>
    <w:p w14:paraId="22C7EA31" w14:textId="2F8ED7D3" w:rsidR="0075495E" w:rsidRDefault="0075495E" w:rsidP="00B73BBC">
      <w:pPr>
        <w:pStyle w:val="TableParagraph"/>
      </w:pPr>
      <w:proofErr w:type="gramStart"/>
      <w:r w:rsidRPr="0075495E">
        <w:t>(    )</w:t>
      </w:r>
      <w:proofErr w:type="gramEnd"/>
      <w:r w:rsidRPr="0075495E">
        <w:t xml:space="preserve"> Sim </w:t>
      </w:r>
    </w:p>
    <w:p w14:paraId="2A413AE1" w14:textId="126AB5AA" w:rsidR="005B2CB5" w:rsidRDefault="0075495E" w:rsidP="00B73BBC">
      <w:pPr>
        <w:pStyle w:val="TableParagraph"/>
      </w:pPr>
      <w:proofErr w:type="gramStart"/>
      <w:r w:rsidRPr="0075495E">
        <w:t>( X</w:t>
      </w:r>
      <w:proofErr w:type="gramEnd"/>
      <w:r w:rsidRPr="0075495E">
        <w:t>) Não. </w:t>
      </w:r>
      <w:r w:rsidRPr="0075495E">
        <w:rPr>
          <w:b/>
          <w:bCs/>
        </w:rPr>
        <w:t>Justificativa:</w:t>
      </w:r>
      <w:r w:rsidRPr="0075495E">
        <w:t xml:space="preserve"> Dada a natureza do objeto que se pretende adquirir, não se verifica impactos ambientais relevantes, sendo necessário tão somente que o fornecedor atenda aos critérios dos órgãos fiscalizadores e à política de sustentabilidade ambiental conforme declaração de atendimento aos requisitos de sustentabilidade previstos no art. 2º da Lei Distrital nº 4.770 /2012.</w:t>
      </w:r>
    </w:p>
    <w:p w14:paraId="6FFDB0AE" w14:textId="77777777" w:rsidR="0075495E" w:rsidRDefault="0075495E" w:rsidP="00B73BBC">
      <w:pPr>
        <w:pStyle w:val="TableParagraph"/>
      </w:pPr>
    </w:p>
    <w:p w14:paraId="7F5CF947" w14:textId="7CCDF9E0" w:rsidR="005B2CB5" w:rsidRPr="00BC539F" w:rsidRDefault="00BE53A8" w:rsidP="00B73BBC">
      <w:pPr>
        <w:pStyle w:val="TableParagraph"/>
      </w:pPr>
      <w:r w:rsidRPr="0075495E">
        <w:t>1</w:t>
      </w:r>
      <w:r w:rsidR="00F84B3A">
        <w:t>4</w:t>
      </w:r>
      <w:r w:rsidRPr="0075495E">
        <w:t xml:space="preserve">. </w:t>
      </w:r>
      <w:r w:rsidRPr="00B73BBC">
        <w:rPr>
          <w:b/>
          <w:bCs/>
        </w:rPr>
        <w:t>DECLARAÇÃO DE VIABILIDADE</w:t>
      </w:r>
      <w:r w:rsidRPr="00BC539F">
        <w:t xml:space="preserve"> </w:t>
      </w:r>
    </w:p>
    <w:p w14:paraId="2382E22C" w14:textId="655A2D8C" w:rsidR="0075495E" w:rsidRDefault="00F84B3A" w:rsidP="00B73BBC">
      <w:pPr>
        <w:pStyle w:val="TableParagraph"/>
      </w:pPr>
      <w:r>
        <w:t xml:space="preserve">14.1 </w:t>
      </w:r>
      <w:r w:rsidR="0075495E" w:rsidRPr="0075495E">
        <w:t xml:space="preserve">Diante do exposto, declaramos, para fins de prosseguimento processual, que o presente estudo realizado, guardadas suas características e especificidades de escopo de análise, considera a atual contratação: </w:t>
      </w:r>
    </w:p>
    <w:p w14:paraId="72B18591" w14:textId="77777777" w:rsidR="0075495E" w:rsidRDefault="0075495E" w:rsidP="00B73BBC">
      <w:pPr>
        <w:pStyle w:val="TableParagraph"/>
      </w:pPr>
      <w:r w:rsidRPr="0075495E">
        <w:t xml:space="preserve">(X) VIÁVEL, desde que haja disponibilidade orçamentária e financeira adequada </w:t>
      </w:r>
    </w:p>
    <w:p w14:paraId="434F0E81" w14:textId="043B576A" w:rsidR="005B2CB5" w:rsidRDefault="0075495E" w:rsidP="00B73BBC">
      <w:pPr>
        <w:pStyle w:val="TableParagraph"/>
      </w:pPr>
      <w:proofErr w:type="gramStart"/>
      <w:r w:rsidRPr="0075495E">
        <w:t>(</w:t>
      </w:r>
      <w:r w:rsidR="00B73BBC">
        <w:t xml:space="preserve">  </w:t>
      </w:r>
      <w:proofErr w:type="gramEnd"/>
      <w:r w:rsidRPr="0075495E">
        <w:t xml:space="preserve"> ) INVIÁVEL, conforme os seguintes motivos:</w:t>
      </w:r>
    </w:p>
    <w:p w14:paraId="5574CC72" w14:textId="77777777" w:rsidR="0075495E" w:rsidRDefault="0075495E" w:rsidP="00B73BBC">
      <w:pPr>
        <w:pStyle w:val="TableParagraph"/>
      </w:pPr>
    </w:p>
    <w:p w14:paraId="4AEC3F9B" w14:textId="360F9C47" w:rsidR="005B2CB5" w:rsidRDefault="00BE53A8" w:rsidP="00B73BBC">
      <w:pPr>
        <w:pStyle w:val="TableParagraph"/>
      </w:pPr>
      <w:r>
        <w:t>1</w:t>
      </w:r>
      <w:r w:rsidR="00F84B3A">
        <w:t>5</w:t>
      </w:r>
      <w:r>
        <w:t xml:space="preserve">.  </w:t>
      </w:r>
      <w:r w:rsidR="0075495E" w:rsidRPr="00B73BBC">
        <w:rPr>
          <w:b/>
          <w:bCs/>
        </w:rPr>
        <w:t>DO</w:t>
      </w:r>
      <w:r w:rsidR="0075495E" w:rsidRPr="00B73BBC">
        <w:rPr>
          <w:b/>
          <w:bCs/>
          <w:spacing w:val="-13"/>
        </w:rPr>
        <w:t xml:space="preserve"> </w:t>
      </w:r>
      <w:r w:rsidR="0075495E" w:rsidRPr="00B73BBC">
        <w:rPr>
          <w:b/>
          <w:bCs/>
        </w:rPr>
        <w:t>ACESSO</w:t>
      </w:r>
      <w:r w:rsidR="0075495E" w:rsidRPr="00B73BBC">
        <w:rPr>
          <w:b/>
          <w:bCs/>
          <w:spacing w:val="-6"/>
        </w:rPr>
        <w:t xml:space="preserve"> </w:t>
      </w:r>
      <w:r w:rsidR="0075495E" w:rsidRPr="00B73BBC">
        <w:rPr>
          <w:b/>
          <w:bCs/>
        </w:rPr>
        <w:t>ÀS</w:t>
      </w:r>
      <w:r w:rsidR="0075495E" w:rsidRPr="00B73BBC">
        <w:rPr>
          <w:b/>
          <w:bCs/>
          <w:spacing w:val="-3"/>
        </w:rPr>
        <w:t xml:space="preserve"> </w:t>
      </w:r>
      <w:r w:rsidR="0075495E" w:rsidRPr="00B73BBC">
        <w:rPr>
          <w:b/>
          <w:bCs/>
        </w:rPr>
        <w:t>INFORMAÇÕES</w:t>
      </w:r>
      <w:r w:rsidR="0075495E" w:rsidRPr="00B73BBC">
        <w:rPr>
          <w:b/>
          <w:bCs/>
          <w:spacing w:val="-3"/>
        </w:rPr>
        <w:t xml:space="preserve"> </w:t>
      </w:r>
      <w:r w:rsidR="0075495E" w:rsidRPr="00B73BBC">
        <w:rPr>
          <w:b/>
          <w:bCs/>
        </w:rPr>
        <w:t>CONTIDAS</w:t>
      </w:r>
      <w:r w:rsidR="0075495E" w:rsidRPr="00B73BBC">
        <w:rPr>
          <w:b/>
          <w:bCs/>
          <w:spacing w:val="-4"/>
        </w:rPr>
        <w:t xml:space="preserve"> </w:t>
      </w:r>
      <w:r w:rsidR="0075495E" w:rsidRPr="00B73BBC">
        <w:rPr>
          <w:b/>
          <w:bCs/>
        </w:rPr>
        <w:t>NOS</w:t>
      </w:r>
      <w:r w:rsidR="0075495E" w:rsidRPr="00B73BBC">
        <w:rPr>
          <w:b/>
          <w:bCs/>
          <w:spacing w:val="-3"/>
        </w:rPr>
        <w:t xml:space="preserve"> </w:t>
      </w:r>
      <w:r w:rsidR="0075495E" w:rsidRPr="00B73BBC">
        <w:rPr>
          <w:b/>
          <w:bCs/>
        </w:rPr>
        <w:t>PRESENTES</w:t>
      </w:r>
      <w:r w:rsidR="0075495E" w:rsidRPr="00B73BBC">
        <w:rPr>
          <w:b/>
          <w:bCs/>
          <w:spacing w:val="-5"/>
        </w:rPr>
        <w:t xml:space="preserve"> </w:t>
      </w:r>
      <w:r w:rsidR="0075495E" w:rsidRPr="00B73BBC">
        <w:rPr>
          <w:b/>
          <w:bCs/>
        </w:rPr>
        <w:t>ESTUDOS</w:t>
      </w:r>
      <w:r w:rsidR="0075495E" w:rsidRPr="00B73BBC">
        <w:rPr>
          <w:b/>
          <w:bCs/>
          <w:spacing w:val="-3"/>
        </w:rPr>
        <w:t xml:space="preserve"> </w:t>
      </w:r>
      <w:r w:rsidR="0075495E" w:rsidRPr="00B73BBC">
        <w:rPr>
          <w:b/>
          <w:bCs/>
        </w:rPr>
        <w:t>PRELIMINARES</w:t>
      </w:r>
      <w:r w:rsidRPr="00BC539F">
        <w:t>:</w:t>
      </w:r>
    </w:p>
    <w:p w14:paraId="645107DB" w14:textId="4A8C6A54" w:rsidR="005B2CB5" w:rsidRDefault="00BE53A8" w:rsidP="00B73BBC">
      <w:pPr>
        <w:pStyle w:val="TableParagraph"/>
      </w:pPr>
      <w:r>
        <w:t>1</w:t>
      </w:r>
      <w:r w:rsidR="00F84B3A">
        <w:t>5</w:t>
      </w:r>
      <w:r>
        <w:t>.1 Nos</w:t>
      </w:r>
      <w:r>
        <w:rPr>
          <w:spacing w:val="33"/>
        </w:rPr>
        <w:t xml:space="preserve"> </w:t>
      </w:r>
      <w:r>
        <w:t>termos</w:t>
      </w:r>
      <w:r>
        <w:rPr>
          <w:spacing w:val="32"/>
        </w:rPr>
        <w:t xml:space="preserve"> </w:t>
      </w:r>
      <w:r>
        <w:t>da</w:t>
      </w:r>
      <w:r>
        <w:rPr>
          <w:spacing w:val="33"/>
        </w:rPr>
        <w:t xml:space="preserve"> </w:t>
      </w:r>
      <w:r>
        <w:t>Lei</w:t>
      </w:r>
      <w:r>
        <w:rPr>
          <w:spacing w:val="29"/>
        </w:rPr>
        <w:t xml:space="preserve"> </w:t>
      </w:r>
      <w:r>
        <w:t>nº</w:t>
      </w:r>
      <w:r>
        <w:rPr>
          <w:spacing w:val="31"/>
        </w:rPr>
        <w:t xml:space="preserve"> </w:t>
      </w:r>
      <w:r>
        <w:t>12.527,</w:t>
      </w:r>
      <w:r>
        <w:rPr>
          <w:spacing w:val="30"/>
        </w:rPr>
        <w:t xml:space="preserve"> </w:t>
      </w:r>
      <w:r>
        <w:t>de</w:t>
      </w:r>
      <w:r>
        <w:rPr>
          <w:spacing w:val="30"/>
        </w:rPr>
        <w:t xml:space="preserve"> </w:t>
      </w:r>
      <w:r>
        <w:t>18</w:t>
      </w:r>
      <w:r>
        <w:rPr>
          <w:spacing w:val="30"/>
        </w:rPr>
        <w:t xml:space="preserve"> </w:t>
      </w:r>
      <w:r>
        <w:t>de</w:t>
      </w:r>
      <w:r>
        <w:rPr>
          <w:spacing w:val="30"/>
        </w:rPr>
        <w:t xml:space="preserve"> </w:t>
      </w:r>
      <w:r>
        <w:t>novembro</w:t>
      </w:r>
      <w:r>
        <w:rPr>
          <w:spacing w:val="32"/>
        </w:rPr>
        <w:t xml:space="preserve"> </w:t>
      </w:r>
      <w:r>
        <w:t>de</w:t>
      </w:r>
      <w:r>
        <w:rPr>
          <w:spacing w:val="31"/>
        </w:rPr>
        <w:t xml:space="preserve"> </w:t>
      </w:r>
      <w:r>
        <w:t>2011,</w:t>
      </w:r>
      <w:r>
        <w:rPr>
          <w:spacing w:val="33"/>
        </w:rPr>
        <w:t xml:space="preserve"> </w:t>
      </w:r>
      <w:r>
        <w:t>esta</w:t>
      </w:r>
      <w:r>
        <w:rPr>
          <w:spacing w:val="31"/>
        </w:rPr>
        <w:t xml:space="preserve"> </w:t>
      </w:r>
      <w:r>
        <w:t>Equipe</w:t>
      </w:r>
      <w:r>
        <w:rPr>
          <w:spacing w:val="33"/>
        </w:rPr>
        <w:t xml:space="preserve"> </w:t>
      </w:r>
      <w:r>
        <w:t>de Planejamento entende que:</w:t>
      </w:r>
    </w:p>
    <w:p w14:paraId="128DE555" w14:textId="77777777" w:rsidR="005B2CB5" w:rsidRDefault="00BE53A8" w:rsidP="00B73BBC">
      <w:pPr>
        <w:pStyle w:val="TableParagraph"/>
        <w:rPr>
          <w:b/>
          <w:bCs/>
        </w:rPr>
      </w:pPr>
      <w:proofErr w:type="gramStart"/>
      <w:r>
        <w:lastRenderedPageBreak/>
        <w:t>( x</w:t>
      </w:r>
      <w:proofErr w:type="gramEnd"/>
      <w:r>
        <w:t xml:space="preserve"> </w:t>
      </w:r>
      <w:proofErr w:type="gramStart"/>
      <w:r>
        <w:t>)  As</w:t>
      </w:r>
      <w:proofErr w:type="gramEnd"/>
      <w:r>
        <w:t xml:space="preserve"> informações contidas no presente Estudo Preliminar </w:t>
      </w:r>
      <w:r w:rsidRPr="00D36E6D">
        <w:rPr>
          <w:b/>
          <w:bCs/>
        </w:rPr>
        <w:t>DEVERÃO ESTAR DISPONÍVEIS</w:t>
      </w:r>
      <w:r>
        <w:t xml:space="preserve"> para qualquer interessado, pois não se caracterizam como sigilosas.</w:t>
      </w:r>
    </w:p>
    <w:p w14:paraId="67B9FA01" w14:textId="004E97B2" w:rsidR="005B2CB5" w:rsidRDefault="00BE53A8" w:rsidP="00B73BBC">
      <w:pPr>
        <w:pStyle w:val="TableParagraph"/>
        <w:rPr>
          <w:b/>
          <w:bCs/>
        </w:rPr>
      </w:pPr>
      <w:proofErr w:type="gramStart"/>
      <w:r>
        <w:t xml:space="preserve">(  </w:t>
      </w:r>
      <w:proofErr w:type="gramEnd"/>
      <w:r w:rsidR="00F84B3A">
        <w:t xml:space="preserve"> </w:t>
      </w:r>
      <w:r>
        <w:t xml:space="preserve">) As informações contidas nos presentes Estudos Preliminares </w:t>
      </w:r>
      <w:r w:rsidRPr="00BC539F">
        <w:rPr>
          <w:b/>
          <w:bCs/>
        </w:rPr>
        <w:t>ASSUMEM CARÁTER SIGILOSO</w:t>
      </w:r>
      <w:r>
        <w:t>, nos termos do Art. 23 da Lei nº 12.527/2011, e, portanto, deverão ter acesso restrito.</w:t>
      </w:r>
    </w:p>
    <w:p w14:paraId="64B8F352" w14:textId="77777777" w:rsidR="005B2CB5" w:rsidRDefault="005B2CB5" w:rsidP="00B73BBC">
      <w:pPr>
        <w:pStyle w:val="TableParagraph"/>
      </w:pPr>
    </w:p>
    <w:p w14:paraId="69FEB03F" w14:textId="79F77391" w:rsidR="005B2CB5" w:rsidRPr="00100579" w:rsidRDefault="00EA32D2" w:rsidP="00B73BBC">
      <w:pPr>
        <w:pStyle w:val="TableParagraph"/>
      </w:pPr>
      <w:r>
        <w:t xml:space="preserve">15.2 </w:t>
      </w:r>
      <w:r w:rsidR="00BE53A8" w:rsidRPr="00100579">
        <w:t>Responsabilidade da Equipe de Planejamento pela Elaboração e Conteúdo do Documento:</w:t>
      </w:r>
    </w:p>
    <w:p w14:paraId="6ABC43CA" w14:textId="77777777" w:rsidR="005B2CB5" w:rsidRDefault="00BE53A8" w:rsidP="00B73BBC">
      <w:pPr>
        <w:pStyle w:val="TableParagraph"/>
        <w:rPr>
          <w:b/>
          <w:bCs/>
        </w:rPr>
      </w:pPr>
      <w:r>
        <w:t>Certificamos que somos responsáveis pela elaboração do presente documento que</w:t>
      </w:r>
      <w:r>
        <w:rPr>
          <w:spacing w:val="-1"/>
        </w:rPr>
        <w:t xml:space="preserve"> </w:t>
      </w:r>
      <w:r>
        <w:t>materializa</w:t>
      </w:r>
      <w:r>
        <w:rPr>
          <w:spacing w:val="-1"/>
        </w:rPr>
        <w:t xml:space="preserve"> </w:t>
      </w:r>
      <w:r>
        <w:t>os</w:t>
      </w:r>
      <w:r>
        <w:rPr>
          <w:spacing w:val="-3"/>
        </w:rPr>
        <w:t xml:space="preserve"> </w:t>
      </w:r>
      <w:r>
        <w:t>Estudos</w:t>
      </w:r>
      <w:r>
        <w:rPr>
          <w:spacing w:val="-3"/>
        </w:rPr>
        <w:t xml:space="preserve"> </w:t>
      </w:r>
      <w:r>
        <w:t>Preliminares</w:t>
      </w:r>
      <w:r>
        <w:rPr>
          <w:spacing w:val="-1"/>
        </w:rPr>
        <w:t xml:space="preserve"> </w:t>
      </w:r>
      <w:r>
        <w:t>da</w:t>
      </w:r>
      <w:r>
        <w:rPr>
          <w:spacing w:val="-1"/>
        </w:rPr>
        <w:t xml:space="preserve"> </w:t>
      </w:r>
      <w:r>
        <w:t>presente</w:t>
      </w:r>
      <w:r>
        <w:rPr>
          <w:spacing w:val="-1"/>
        </w:rPr>
        <w:t xml:space="preserve"> </w:t>
      </w:r>
      <w:r>
        <w:t>contratação e que o mesmo traz os conteúdos previstos na Instrução Normativa SEGES/MP nº 5/2017, conforme diretrizes estabelecidas no</w:t>
      </w:r>
      <w:r>
        <w:rPr>
          <w:spacing w:val="-1"/>
        </w:rPr>
        <w:t xml:space="preserve"> </w:t>
      </w:r>
      <w:r>
        <w:t>Anexo III.</w:t>
      </w:r>
    </w:p>
    <w:p w14:paraId="2D0807AF" w14:textId="77777777" w:rsidR="005B2CB5" w:rsidRDefault="005B2CB5" w:rsidP="00B73BBC">
      <w:pPr>
        <w:pStyle w:val="TableParagraph"/>
      </w:pPr>
    </w:p>
    <w:p w14:paraId="281B99C5" w14:textId="232BC873" w:rsidR="005B2CB5" w:rsidRDefault="00BE53A8" w:rsidP="00B73BBC">
      <w:pPr>
        <w:pStyle w:val="TableParagraph"/>
        <w:rPr>
          <w:b/>
          <w:bCs/>
        </w:rPr>
      </w:pPr>
      <w:r>
        <w:t xml:space="preserve">Cuiabá-MT, </w:t>
      </w:r>
      <w:r w:rsidR="00E663B8">
        <w:t>26 de março</w:t>
      </w:r>
      <w:r w:rsidR="0075495E">
        <w:t xml:space="preserve"> de </w:t>
      </w:r>
      <w:r>
        <w:t>202</w:t>
      </w:r>
      <w:r w:rsidR="00D36E6D">
        <w:t>5</w:t>
      </w:r>
    </w:p>
    <w:p w14:paraId="45E6E233" w14:textId="77777777" w:rsidR="005B2CB5" w:rsidRDefault="005B2CB5">
      <w:pPr>
        <w:ind w:firstLine="1134"/>
        <w:jc w:val="both"/>
        <w:rPr>
          <w:rFonts w:ascii="Times New Roman" w:hAnsi="Times New Roman" w:cs="Times New Roman"/>
          <w:sz w:val="24"/>
          <w:szCs w:val="24"/>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825"/>
        <w:gridCol w:w="4462"/>
      </w:tblGrid>
      <w:tr w:rsidR="005B2CB5" w14:paraId="39D89EB9" w14:textId="77777777">
        <w:tc>
          <w:tcPr>
            <w:tcW w:w="4825" w:type="dxa"/>
          </w:tcPr>
          <w:p w14:paraId="45808AE1" w14:textId="77777777" w:rsidR="005B2CB5" w:rsidRDefault="005B2CB5">
            <w:pPr>
              <w:pStyle w:val="Cabealho"/>
              <w:jc w:val="center"/>
              <w:rPr>
                <w:rFonts w:ascii="Times New Roman" w:hAnsi="Times New Roman" w:cs="Times New Roman"/>
                <w:sz w:val="20"/>
                <w:szCs w:val="20"/>
              </w:rPr>
            </w:pPr>
          </w:p>
          <w:p w14:paraId="68A89E83" w14:textId="77777777" w:rsidR="000658B4" w:rsidRDefault="000658B4">
            <w:pPr>
              <w:pStyle w:val="Cabealho"/>
              <w:jc w:val="center"/>
              <w:rPr>
                <w:rFonts w:ascii="Times New Roman" w:hAnsi="Times New Roman" w:cs="Times New Roman"/>
                <w:sz w:val="20"/>
                <w:szCs w:val="20"/>
              </w:rPr>
            </w:pPr>
          </w:p>
          <w:p w14:paraId="6F5CB719" w14:textId="77777777" w:rsidR="005B2CB5" w:rsidRDefault="005B2CB5">
            <w:pPr>
              <w:pStyle w:val="Cabealho"/>
              <w:jc w:val="center"/>
              <w:rPr>
                <w:rFonts w:ascii="Times New Roman" w:hAnsi="Times New Roman" w:cs="Times New Roman"/>
                <w:sz w:val="20"/>
                <w:szCs w:val="20"/>
              </w:rPr>
            </w:pPr>
          </w:p>
          <w:p w14:paraId="2A0EFAD4" w14:textId="77777777" w:rsidR="000658B4" w:rsidRDefault="000658B4">
            <w:pPr>
              <w:pStyle w:val="Cabealho"/>
              <w:jc w:val="center"/>
              <w:rPr>
                <w:rFonts w:ascii="Times New Roman" w:hAnsi="Times New Roman" w:cs="Times New Roman"/>
                <w:sz w:val="20"/>
                <w:szCs w:val="20"/>
              </w:rPr>
            </w:pPr>
          </w:p>
          <w:p w14:paraId="7D49F6E3" w14:textId="77777777" w:rsidR="005B2CB5" w:rsidRDefault="005B2CB5">
            <w:pPr>
              <w:pStyle w:val="Cabealho"/>
              <w:jc w:val="center"/>
              <w:rPr>
                <w:rFonts w:ascii="Times New Roman" w:hAnsi="Times New Roman" w:cs="Times New Roman"/>
                <w:sz w:val="20"/>
                <w:szCs w:val="20"/>
              </w:rPr>
            </w:pPr>
          </w:p>
          <w:p w14:paraId="43869798" w14:textId="77777777" w:rsidR="00D36E6D" w:rsidRPr="00D36E6D" w:rsidRDefault="00D36E6D">
            <w:pPr>
              <w:pStyle w:val="PargrafodaLista"/>
              <w:ind w:left="0"/>
              <w:jc w:val="center"/>
              <w:rPr>
                <w:rFonts w:ascii="Times New Roman" w:hAnsi="Times New Roman" w:cs="Times New Roman"/>
                <w:b/>
                <w:bCs/>
                <w:sz w:val="20"/>
                <w:szCs w:val="20"/>
                <w:lang w:val="pt-BR"/>
              </w:rPr>
            </w:pPr>
            <w:r w:rsidRPr="00D36E6D">
              <w:rPr>
                <w:rFonts w:ascii="Times New Roman" w:hAnsi="Times New Roman" w:cs="Times New Roman"/>
                <w:b/>
                <w:bCs/>
                <w:sz w:val="24"/>
                <w:szCs w:val="24"/>
              </w:rPr>
              <w:t>Kennder Higo de Arruda</w:t>
            </w:r>
            <w:r w:rsidRPr="00D36E6D">
              <w:rPr>
                <w:rFonts w:ascii="Times New Roman" w:hAnsi="Times New Roman" w:cs="Times New Roman"/>
                <w:b/>
                <w:bCs/>
                <w:sz w:val="20"/>
                <w:szCs w:val="20"/>
                <w:lang w:val="pt-BR"/>
              </w:rPr>
              <w:t xml:space="preserve"> </w:t>
            </w:r>
          </w:p>
          <w:p w14:paraId="7AB97DE6" w14:textId="51FB0D0D" w:rsidR="005B2CB5" w:rsidRDefault="00BE53A8" w:rsidP="00D36E6D">
            <w:pPr>
              <w:pStyle w:val="PargrafodaLista"/>
              <w:ind w:left="0"/>
              <w:jc w:val="center"/>
              <w:rPr>
                <w:rFonts w:ascii="Times New Roman" w:hAnsi="Times New Roman" w:cs="Times New Roman"/>
                <w:sz w:val="20"/>
                <w:szCs w:val="20"/>
                <w:lang w:val="pt-BR"/>
              </w:rPr>
            </w:pPr>
            <w:r>
              <w:rPr>
                <w:rFonts w:ascii="Times New Roman" w:hAnsi="Times New Roman" w:cs="Times New Roman"/>
                <w:sz w:val="20"/>
                <w:szCs w:val="20"/>
                <w:lang w:val="pt-BR"/>
              </w:rPr>
              <w:t xml:space="preserve">Mat. </w:t>
            </w:r>
            <w:r w:rsidR="00D36E6D">
              <w:rPr>
                <w:rFonts w:ascii="Times New Roman" w:hAnsi="Times New Roman" w:cs="Times New Roman"/>
                <w:sz w:val="20"/>
                <w:szCs w:val="20"/>
                <w:lang w:val="pt-BR"/>
              </w:rPr>
              <w:t>76/2006</w:t>
            </w:r>
          </w:p>
          <w:p w14:paraId="391FD033" w14:textId="5F6C4554" w:rsidR="005B2CB5" w:rsidRPr="00EA32D2" w:rsidRDefault="00D36E6D" w:rsidP="00D36E6D">
            <w:pPr>
              <w:pStyle w:val="Corpodetexto"/>
            </w:pPr>
            <w:r>
              <w:t>Setor Logística e Patrimônio/ Coren-MT</w:t>
            </w:r>
          </w:p>
          <w:p w14:paraId="09FC3810" w14:textId="77777777" w:rsidR="005B2CB5" w:rsidRDefault="005B2CB5">
            <w:pPr>
              <w:jc w:val="center"/>
              <w:rPr>
                <w:rFonts w:ascii="Times New Roman" w:hAnsi="Times New Roman" w:cs="Times New Roman"/>
                <w:sz w:val="20"/>
                <w:szCs w:val="20"/>
              </w:rPr>
            </w:pPr>
          </w:p>
          <w:p w14:paraId="002E86A1" w14:textId="77777777" w:rsidR="000658B4" w:rsidRDefault="000658B4">
            <w:pPr>
              <w:jc w:val="center"/>
              <w:rPr>
                <w:rFonts w:ascii="Times New Roman" w:hAnsi="Times New Roman" w:cs="Times New Roman"/>
                <w:sz w:val="20"/>
                <w:szCs w:val="20"/>
              </w:rPr>
            </w:pPr>
          </w:p>
          <w:p w14:paraId="148300E2" w14:textId="77777777" w:rsidR="000658B4" w:rsidRDefault="000658B4">
            <w:pPr>
              <w:jc w:val="center"/>
              <w:rPr>
                <w:rFonts w:ascii="Times New Roman" w:hAnsi="Times New Roman" w:cs="Times New Roman"/>
                <w:sz w:val="20"/>
                <w:szCs w:val="20"/>
              </w:rPr>
            </w:pPr>
          </w:p>
        </w:tc>
        <w:tc>
          <w:tcPr>
            <w:tcW w:w="4462" w:type="dxa"/>
          </w:tcPr>
          <w:p w14:paraId="0DC78EF1" w14:textId="77777777" w:rsidR="005B2CB5" w:rsidRDefault="005B2CB5">
            <w:pPr>
              <w:pStyle w:val="PargrafodaLista"/>
              <w:ind w:left="0" w:firstLine="0"/>
              <w:jc w:val="center"/>
              <w:rPr>
                <w:rFonts w:ascii="Times New Roman" w:hAnsi="Times New Roman" w:cs="Times New Roman"/>
                <w:sz w:val="20"/>
                <w:szCs w:val="20"/>
                <w:lang w:val="pt-BR"/>
              </w:rPr>
            </w:pPr>
          </w:p>
          <w:p w14:paraId="3BC3787C" w14:textId="77777777" w:rsidR="005B2CB5" w:rsidRDefault="005B2CB5">
            <w:pPr>
              <w:pStyle w:val="PargrafodaLista"/>
              <w:ind w:left="0" w:firstLine="0"/>
              <w:jc w:val="center"/>
              <w:rPr>
                <w:rFonts w:ascii="Times New Roman" w:hAnsi="Times New Roman" w:cs="Times New Roman"/>
                <w:sz w:val="20"/>
                <w:szCs w:val="20"/>
                <w:lang w:val="pt-BR"/>
              </w:rPr>
            </w:pPr>
          </w:p>
          <w:p w14:paraId="54F20B15" w14:textId="77777777" w:rsidR="005B2CB5" w:rsidRDefault="005B2CB5">
            <w:pPr>
              <w:pStyle w:val="PargrafodaLista"/>
              <w:ind w:left="0" w:firstLine="0"/>
              <w:jc w:val="center"/>
              <w:rPr>
                <w:rFonts w:ascii="Times New Roman" w:hAnsi="Times New Roman" w:cs="Times New Roman"/>
                <w:sz w:val="20"/>
                <w:szCs w:val="20"/>
                <w:lang w:val="pt-BR"/>
              </w:rPr>
            </w:pPr>
          </w:p>
          <w:p w14:paraId="5546F2D6" w14:textId="77777777" w:rsidR="000658B4" w:rsidRDefault="000658B4">
            <w:pPr>
              <w:pStyle w:val="PargrafodaLista"/>
              <w:ind w:left="0" w:firstLine="0"/>
              <w:jc w:val="center"/>
              <w:rPr>
                <w:rFonts w:ascii="Times New Roman" w:hAnsi="Times New Roman" w:cs="Times New Roman"/>
                <w:sz w:val="20"/>
                <w:szCs w:val="20"/>
                <w:lang w:val="pt-BR"/>
              </w:rPr>
            </w:pPr>
          </w:p>
          <w:p w14:paraId="31E0ED9D" w14:textId="77777777" w:rsidR="000658B4" w:rsidRDefault="000658B4">
            <w:pPr>
              <w:pStyle w:val="PargrafodaLista"/>
              <w:ind w:left="0" w:firstLine="0"/>
              <w:jc w:val="center"/>
              <w:rPr>
                <w:rFonts w:ascii="Times New Roman" w:hAnsi="Times New Roman" w:cs="Times New Roman"/>
                <w:sz w:val="20"/>
                <w:szCs w:val="20"/>
                <w:lang w:val="pt-BR"/>
              </w:rPr>
            </w:pPr>
          </w:p>
          <w:p w14:paraId="649FFCE4" w14:textId="77777777" w:rsidR="005B2CB5" w:rsidRDefault="00BE53A8">
            <w:pPr>
              <w:pStyle w:val="PargrafodaLista"/>
              <w:ind w:left="0" w:firstLine="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Elemarcia Paiva Moreira Rezer</w:t>
            </w:r>
          </w:p>
          <w:p w14:paraId="68B5B5FB" w14:textId="77777777" w:rsidR="005B2CB5" w:rsidRDefault="00BE53A8">
            <w:pPr>
              <w:pStyle w:val="PargrafodaLista"/>
              <w:ind w:left="0" w:firstLine="0"/>
              <w:jc w:val="center"/>
              <w:rPr>
                <w:rFonts w:ascii="Times New Roman" w:hAnsi="Times New Roman" w:cs="Times New Roman"/>
                <w:sz w:val="20"/>
                <w:szCs w:val="20"/>
                <w:lang w:val="pt-BR"/>
              </w:rPr>
            </w:pPr>
            <w:r>
              <w:rPr>
                <w:rFonts w:ascii="Times New Roman" w:hAnsi="Times New Roman" w:cs="Times New Roman"/>
                <w:sz w:val="20"/>
                <w:szCs w:val="20"/>
                <w:lang w:val="pt-BR"/>
              </w:rPr>
              <w:t>Mat. 023/199</w:t>
            </w:r>
          </w:p>
          <w:p w14:paraId="63C05FAF" w14:textId="4901A6E4" w:rsidR="005B2CB5" w:rsidRDefault="00D36E6D">
            <w:pPr>
              <w:pStyle w:val="Cabealh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Setor de Licitação e Compras</w:t>
            </w:r>
          </w:p>
          <w:p w14:paraId="6623ABEA" w14:textId="77777777" w:rsidR="005B2CB5" w:rsidRDefault="005B2CB5">
            <w:pPr>
              <w:pStyle w:val="Cabealho"/>
              <w:jc w:val="center"/>
              <w:rPr>
                <w:rFonts w:ascii="Times New Roman" w:hAnsi="Times New Roman" w:cs="Times New Roman"/>
                <w:color w:val="000000" w:themeColor="text1"/>
                <w:sz w:val="20"/>
                <w:szCs w:val="20"/>
              </w:rPr>
            </w:pPr>
          </w:p>
          <w:p w14:paraId="01872D11" w14:textId="77777777" w:rsidR="005B2CB5" w:rsidRDefault="005B2CB5">
            <w:pPr>
              <w:pStyle w:val="PargrafodaLista"/>
              <w:ind w:left="0" w:firstLine="0"/>
              <w:jc w:val="center"/>
              <w:rPr>
                <w:rFonts w:ascii="Times New Roman" w:hAnsi="Times New Roman" w:cs="Times New Roman"/>
                <w:sz w:val="20"/>
                <w:szCs w:val="20"/>
                <w:lang w:val="pt-BR"/>
              </w:rPr>
            </w:pPr>
          </w:p>
        </w:tc>
      </w:tr>
      <w:tr w:rsidR="005B2CB5" w14:paraId="10ED8E33" w14:textId="77777777">
        <w:tc>
          <w:tcPr>
            <w:tcW w:w="9287" w:type="dxa"/>
            <w:gridSpan w:val="2"/>
          </w:tcPr>
          <w:p w14:paraId="612CDB7F" w14:textId="77777777" w:rsidR="005B2CB5" w:rsidRDefault="005B2CB5">
            <w:pPr>
              <w:pStyle w:val="Cabealho"/>
              <w:jc w:val="center"/>
              <w:rPr>
                <w:rFonts w:ascii="Times New Roman" w:hAnsi="Times New Roman" w:cs="Times New Roman"/>
                <w:sz w:val="24"/>
                <w:szCs w:val="24"/>
              </w:rPr>
            </w:pPr>
          </w:p>
        </w:tc>
      </w:tr>
    </w:tbl>
    <w:p w14:paraId="0763EF91" w14:textId="77777777" w:rsidR="005B2CB5" w:rsidRDefault="00BE53A8">
      <w:pPr>
        <w:tabs>
          <w:tab w:val="left" w:pos="4400"/>
        </w:tabs>
        <w:ind w:left="40"/>
        <w:rPr>
          <w:rFonts w:ascii="Times New Roman" w:hAnsi="Times New Roman" w:cs="Times New Roman"/>
          <w:b/>
          <w:sz w:val="24"/>
          <w:szCs w:val="24"/>
        </w:rPr>
      </w:pPr>
      <w:r>
        <w:rPr>
          <w:rFonts w:ascii="Times New Roman" w:hAnsi="Times New Roman" w:cs="Times New Roman"/>
          <w:b/>
          <w:sz w:val="24"/>
          <w:szCs w:val="24"/>
        </w:rPr>
        <w:t>Aprovo o Estudo Preliminar conforme proposto</w:t>
      </w:r>
    </w:p>
    <w:p w14:paraId="1FEA3AB6" w14:textId="77777777" w:rsidR="005B2CB5" w:rsidRDefault="005B2CB5">
      <w:pPr>
        <w:ind w:left="-1276" w:firstLine="1984"/>
        <w:jc w:val="center"/>
        <w:rPr>
          <w:rFonts w:ascii="Times New Roman" w:hAnsi="Times New Roman" w:cs="Times New Roman"/>
          <w:b/>
          <w:sz w:val="24"/>
          <w:szCs w:val="24"/>
        </w:rPr>
      </w:pPr>
    </w:p>
    <w:p w14:paraId="2A4CECE6" w14:textId="77777777" w:rsidR="005B2CB5" w:rsidRDefault="005B2CB5">
      <w:pPr>
        <w:ind w:left="-1276" w:firstLine="1984"/>
        <w:jc w:val="center"/>
        <w:rPr>
          <w:rFonts w:ascii="Times New Roman" w:hAnsi="Times New Roman" w:cs="Times New Roman"/>
          <w:b/>
          <w:sz w:val="24"/>
          <w:szCs w:val="24"/>
        </w:rPr>
      </w:pPr>
    </w:p>
    <w:p w14:paraId="642907FF" w14:textId="77777777" w:rsidR="005B2CB5" w:rsidRDefault="005B2CB5">
      <w:pPr>
        <w:ind w:left="-1276" w:firstLine="1984"/>
        <w:jc w:val="center"/>
        <w:rPr>
          <w:rFonts w:ascii="Times New Roman" w:hAnsi="Times New Roman" w:cs="Times New Roman"/>
          <w:b/>
          <w:sz w:val="24"/>
          <w:szCs w:val="24"/>
        </w:rPr>
      </w:pPr>
    </w:p>
    <w:p w14:paraId="1524B6AD" w14:textId="77777777" w:rsidR="005B2CB5" w:rsidRDefault="005B2CB5">
      <w:pPr>
        <w:ind w:left="-1276" w:firstLine="1984"/>
        <w:jc w:val="center"/>
        <w:rPr>
          <w:rFonts w:ascii="Times New Roman" w:hAnsi="Times New Roman" w:cs="Times New Roman"/>
          <w:b/>
          <w:sz w:val="24"/>
          <w:szCs w:val="24"/>
        </w:rPr>
      </w:pPr>
    </w:p>
    <w:p w14:paraId="3C80DA0C" w14:textId="77777777" w:rsidR="005B2CB5" w:rsidRDefault="005B2CB5">
      <w:pPr>
        <w:ind w:left="-1276" w:firstLine="1984"/>
        <w:jc w:val="center"/>
        <w:rPr>
          <w:rFonts w:ascii="Times New Roman" w:hAnsi="Times New Roman" w:cs="Times New Roman"/>
          <w:b/>
          <w:sz w:val="24"/>
          <w:szCs w:val="24"/>
        </w:rPr>
      </w:pPr>
    </w:p>
    <w:p w14:paraId="3639D7F9" w14:textId="77777777" w:rsidR="005B2CB5" w:rsidRDefault="00BE53A8">
      <w:pPr>
        <w:ind w:left="-1276" w:firstLine="1984"/>
        <w:jc w:val="center"/>
        <w:rPr>
          <w:rFonts w:ascii="Times New Roman" w:hAnsi="Times New Roman" w:cs="Times New Roman"/>
          <w:b/>
          <w:sz w:val="24"/>
          <w:szCs w:val="24"/>
        </w:rPr>
      </w:pP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ª Bruna Karoline de Almeida Santiago</w:t>
      </w:r>
    </w:p>
    <w:p w14:paraId="641F4E96" w14:textId="77777777" w:rsidR="005B2CB5" w:rsidRDefault="00BE53A8">
      <w:pPr>
        <w:ind w:left="-1276" w:firstLine="1984"/>
        <w:jc w:val="center"/>
        <w:rPr>
          <w:rFonts w:ascii="Times New Roman" w:hAnsi="Times New Roman" w:cs="Times New Roman"/>
          <w:sz w:val="20"/>
          <w:szCs w:val="20"/>
        </w:rPr>
      </w:pPr>
      <w:r>
        <w:rPr>
          <w:rFonts w:ascii="Times New Roman" w:hAnsi="Times New Roman" w:cs="Times New Roman"/>
          <w:sz w:val="20"/>
          <w:szCs w:val="20"/>
        </w:rPr>
        <w:t>Coren-MT n.º 442453-ENF</w:t>
      </w:r>
    </w:p>
    <w:p w14:paraId="225A5BFD" w14:textId="4F9AA53F" w:rsidR="005B2CB5" w:rsidRDefault="00BE53A8">
      <w:pPr>
        <w:ind w:left="-1276" w:firstLine="1984"/>
        <w:jc w:val="center"/>
        <w:rPr>
          <w:rFonts w:ascii="Times New Roman" w:hAnsi="Times New Roman" w:cs="Times New Roman"/>
          <w:sz w:val="24"/>
          <w:szCs w:val="24"/>
        </w:rPr>
      </w:pPr>
      <w:r>
        <w:rPr>
          <w:rFonts w:ascii="Times New Roman" w:hAnsi="Times New Roman" w:cs="Times New Roman"/>
          <w:sz w:val="20"/>
          <w:szCs w:val="20"/>
        </w:rPr>
        <w:t>Presidente do Coren-MT</w:t>
      </w:r>
    </w:p>
    <w:sectPr w:rsidR="005B2CB5">
      <w:headerReference w:type="even" r:id="rId8"/>
      <w:headerReference w:type="default" r:id="rId9"/>
      <w:footerReference w:type="even" r:id="rId10"/>
      <w:footerReference w:type="default" r:id="rId11"/>
      <w:headerReference w:type="first" r:id="rId12"/>
      <w:footerReference w:type="first" r:id="rId13"/>
      <w:pgSz w:w="11906" w:h="16838"/>
      <w:pgMar w:top="1440" w:right="1089" w:bottom="1440" w:left="1140" w:header="284"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AD818" w14:textId="77777777" w:rsidR="00BE53A8" w:rsidRDefault="00BE53A8">
      <w:r>
        <w:separator/>
      </w:r>
    </w:p>
  </w:endnote>
  <w:endnote w:type="continuationSeparator" w:id="0">
    <w:p w14:paraId="613BDB15" w14:textId="77777777" w:rsidR="00BE53A8" w:rsidRDefault="00BE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Liberation Serif">
    <w:altName w:val="Times New Roman"/>
    <w:charset w:val="00"/>
    <w:family w:val="roman"/>
    <w:pitch w:val="default"/>
    <w:sig w:usb0="00000000" w:usb1="00000000" w:usb2="00000000"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45AAC" w14:textId="77777777" w:rsidR="00B71A9A" w:rsidRDefault="00B71A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top w:w="15" w:type="dxa"/>
        <w:left w:w="15" w:type="dxa"/>
        <w:bottom w:w="15" w:type="dxa"/>
        <w:right w:w="15" w:type="dxa"/>
      </w:tblCellMar>
      <w:tblLook w:val="04A0" w:firstRow="1" w:lastRow="0" w:firstColumn="1" w:lastColumn="0" w:noHBand="0" w:noVBand="1"/>
    </w:tblPr>
    <w:tblGrid>
      <w:gridCol w:w="4515"/>
      <w:gridCol w:w="4545"/>
    </w:tblGrid>
    <w:tr w:rsidR="005B2CB5" w14:paraId="4DC175FB" w14:textId="77777777">
      <w:tc>
        <w:tcPr>
          <w:tcW w:w="4515" w:type="dxa"/>
          <w:tcBorders>
            <w:top w:val="nil"/>
            <w:left w:val="nil"/>
            <w:bottom w:val="nil"/>
            <w:right w:val="nil"/>
          </w:tcBorders>
        </w:tcPr>
        <w:p w14:paraId="3C620183" w14:textId="77777777" w:rsidR="005B2CB5" w:rsidRDefault="00BE53A8">
          <w:pPr>
            <w:pStyle w:val="Rodap"/>
            <w:rPr>
              <w:rFonts w:ascii="Times New Roman" w:hAnsi="Times New Roman" w:cs="Times New Roman"/>
              <w:b/>
              <w:sz w:val="16"/>
              <w:szCs w:val="16"/>
            </w:rPr>
          </w:pPr>
          <w:bookmarkStart w:id="2" w:name="_Hlk160616479"/>
          <w:bookmarkStart w:id="3" w:name="_Hlk179782272"/>
          <w:r>
            <w:rPr>
              <w:rFonts w:ascii="Times New Roman" w:hAnsi="Times New Roman" w:cs="Times New Roman"/>
              <w:b/>
              <w:sz w:val="16"/>
              <w:szCs w:val="16"/>
            </w:rPr>
            <w:t>Endereço:</w:t>
          </w:r>
          <w:bookmarkEnd w:id="2"/>
        </w:p>
        <w:p w14:paraId="16E0CE3E" w14:textId="77777777" w:rsidR="005B2CB5" w:rsidRDefault="00BE53A8">
          <w:pPr>
            <w:pStyle w:val="Rodap"/>
            <w:rPr>
              <w:rFonts w:ascii="Times New Roman" w:hAnsi="Times New Roman" w:cs="Times New Roman"/>
              <w:sz w:val="16"/>
              <w:szCs w:val="16"/>
            </w:rPr>
          </w:pPr>
          <w:r>
            <w:rPr>
              <w:rFonts w:ascii="Times New Roman" w:hAnsi="Times New Roman" w:cs="Times New Roman"/>
              <w:sz w:val="16"/>
              <w:szCs w:val="16"/>
            </w:rPr>
            <w:t>Rua dos Lírios, nº 363 Bairro Jardim Cuiabá</w:t>
          </w:r>
        </w:p>
        <w:p w14:paraId="4954D739" w14:textId="77777777" w:rsidR="005B2CB5" w:rsidRDefault="00BE53A8">
          <w:pPr>
            <w:pStyle w:val="Rodap"/>
            <w:rPr>
              <w:rFonts w:ascii="Times New Roman" w:hAnsi="Times New Roman" w:cs="Times New Roman"/>
              <w:sz w:val="16"/>
              <w:szCs w:val="16"/>
            </w:rPr>
          </w:pPr>
          <w:r>
            <w:rPr>
              <w:rFonts w:ascii="Times New Roman" w:hAnsi="Times New Roman" w:cs="Times New Roman"/>
              <w:sz w:val="16"/>
              <w:szCs w:val="16"/>
            </w:rPr>
            <w:t>CEP 78.043-122 Cuiabá - MT</w:t>
          </w:r>
        </w:p>
        <w:p w14:paraId="56D1701C" w14:textId="77777777" w:rsidR="005B2CB5" w:rsidRDefault="005B2CB5">
          <w:pPr>
            <w:pStyle w:val="Rodap"/>
            <w:rPr>
              <w:rFonts w:ascii="Times New Roman" w:hAnsi="Times New Roman" w:cs="Times New Roman"/>
              <w:sz w:val="16"/>
              <w:szCs w:val="16"/>
            </w:rPr>
          </w:pPr>
        </w:p>
        <w:p w14:paraId="5446D851" w14:textId="55A172FD" w:rsidR="005B2CB5" w:rsidRDefault="00BE53A8" w:rsidP="00B71A9A">
          <w:pPr>
            <w:pStyle w:val="Rodap"/>
            <w:rPr>
              <w:rFonts w:ascii="Times New Roman" w:hAnsi="Times New Roman" w:cs="Times New Roman"/>
              <w:sz w:val="16"/>
              <w:szCs w:val="16"/>
            </w:rPr>
          </w:pPr>
          <w:r>
            <w:rPr>
              <w:rFonts w:ascii="Times New Roman" w:hAnsi="Times New Roman" w:cs="Times New Roman"/>
              <w:b/>
              <w:sz w:val="16"/>
              <w:szCs w:val="16"/>
            </w:rPr>
            <w:t>Redes:</w:t>
          </w:r>
          <w:r>
            <w:rPr>
              <w:rFonts w:ascii="Times New Roman" w:hAnsi="Times New Roman" w:cs="Times New Roman"/>
              <w:sz w:val="16"/>
              <w:szCs w:val="16"/>
            </w:rPr>
            <w:t xml:space="preserve">       </w:t>
          </w:r>
          <w:hyperlink r:id="rId1" w:history="1">
            <w:r>
              <w:rPr>
                <w:rStyle w:val="Hyperlink"/>
                <w:rFonts w:ascii="Times New Roman" w:hAnsi="Times New Roman" w:cs="Times New Roman"/>
                <w:sz w:val="16"/>
                <w:szCs w:val="16"/>
              </w:rPr>
              <w:t>www.coren-mt.gov.br</w:t>
            </w:r>
          </w:hyperlink>
          <w:r>
            <w:rPr>
              <w:rFonts w:ascii="Times New Roman" w:hAnsi="Times New Roman" w:cs="Times New Roman"/>
              <w:sz w:val="16"/>
              <w:szCs w:val="16"/>
            </w:rPr>
            <w:t xml:space="preserve"> / @corenmt</w:t>
          </w:r>
        </w:p>
      </w:tc>
      <w:tc>
        <w:tcPr>
          <w:tcW w:w="4545" w:type="dxa"/>
          <w:tcBorders>
            <w:top w:val="nil"/>
            <w:left w:val="nil"/>
            <w:bottom w:val="nil"/>
            <w:right w:val="nil"/>
          </w:tcBorders>
        </w:tcPr>
        <w:p w14:paraId="3CE58F91" w14:textId="77777777" w:rsidR="005B2CB5" w:rsidRDefault="00BE53A8">
          <w:pPr>
            <w:pStyle w:val="Rodap"/>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1873BFF1" wp14:editId="2B974111">
                <wp:extent cx="2028825" cy="781050"/>
                <wp:effectExtent l="0" t="0" r="9525" b="0"/>
                <wp:docPr id="197541887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7691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28825" cy="781050"/>
                        </a:xfrm>
                        <a:prstGeom prst="rect">
                          <a:avLst/>
                        </a:prstGeom>
                        <a:noFill/>
                        <a:ln>
                          <a:noFill/>
                        </a:ln>
                      </pic:spPr>
                    </pic:pic>
                  </a:graphicData>
                </a:graphic>
              </wp:inline>
            </w:drawing>
          </w:r>
        </w:p>
      </w:tc>
    </w:tr>
    <w:bookmarkEnd w:id="3"/>
  </w:tbl>
  <w:p w14:paraId="11D802E4" w14:textId="77777777" w:rsidR="005B2CB5" w:rsidRDefault="005B2C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CC46" w14:textId="77777777" w:rsidR="00B71A9A" w:rsidRDefault="00B71A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C781" w14:textId="77777777" w:rsidR="00BE53A8" w:rsidRDefault="00BE53A8">
      <w:r>
        <w:separator/>
      </w:r>
    </w:p>
  </w:footnote>
  <w:footnote w:type="continuationSeparator" w:id="0">
    <w:p w14:paraId="09BA7FB2" w14:textId="77777777" w:rsidR="00BE53A8" w:rsidRDefault="00BE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952A0" w14:textId="77777777" w:rsidR="00B71A9A" w:rsidRDefault="00B71A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E4D1" w14:textId="77777777" w:rsidR="005B2CB5" w:rsidRDefault="00BE53A8">
    <w:pPr>
      <w:pStyle w:val="Cabealho"/>
      <w:jc w:val="center"/>
    </w:pPr>
    <w:r>
      <w:rPr>
        <w:noProof/>
        <w:lang w:eastAsia="pt-BR"/>
      </w:rPr>
      <w:drawing>
        <wp:inline distT="0" distB="0" distL="0" distR="0" wp14:anchorId="7C55311D" wp14:editId="6B4A322C">
          <wp:extent cx="4053840" cy="1216025"/>
          <wp:effectExtent l="0" t="0" r="3810" b="3175"/>
          <wp:docPr id="1240827456"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74920" name="Imagem 2" descr="Cabeçalho.jpg"/>
                  <pic:cNvPicPr>
                    <a:picLocks noChangeAspect="1"/>
                  </pic:cNvPicPr>
                </pic:nvPicPr>
                <pic:blipFill>
                  <a:blip r:embed="rId1"/>
                  <a:stretch>
                    <a:fillRect/>
                  </a:stretch>
                </pic:blipFill>
                <pic:spPr>
                  <a:xfrm>
                    <a:off x="0" y="0"/>
                    <a:ext cx="4054413" cy="12163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4AF0" w14:textId="77777777" w:rsidR="00B71A9A" w:rsidRDefault="00B71A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7F97"/>
    <w:multiLevelType w:val="hybridMultilevel"/>
    <w:tmpl w:val="6D561A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5A3862"/>
    <w:multiLevelType w:val="hybridMultilevel"/>
    <w:tmpl w:val="9CB65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AD62FDE"/>
    <w:multiLevelType w:val="hybridMultilevel"/>
    <w:tmpl w:val="F36063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72166851">
    <w:abstractNumId w:val="1"/>
  </w:num>
  <w:num w:numId="2" w16cid:durableId="1964730743">
    <w:abstractNumId w:val="2"/>
  </w:num>
  <w:num w:numId="3" w16cid:durableId="124691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defaultTabStop w:val="708"/>
  <w:hyphenationZone w:val="425"/>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C27AA5"/>
    <w:rsid w:val="00005DE3"/>
    <w:rsid w:val="00037F6B"/>
    <w:rsid w:val="00046B22"/>
    <w:rsid w:val="00054C68"/>
    <w:rsid w:val="000658B4"/>
    <w:rsid w:val="000A73B5"/>
    <w:rsid w:val="000B2995"/>
    <w:rsid w:val="000B4FB1"/>
    <w:rsid w:val="00100579"/>
    <w:rsid w:val="00186FC6"/>
    <w:rsid w:val="001B1742"/>
    <w:rsid w:val="001C75FE"/>
    <w:rsid w:val="00213AA8"/>
    <w:rsid w:val="00266777"/>
    <w:rsid w:val="0028066C"/>
    <w:rsid w:val="00281042"/>
    <w:rsid w:val="002A5CF0"/>
    <w:rsid w:val="002A5D59"/>
    <w:rsid w:val="002B7758"/>
    <w:rsid w:val="00323BA4"/>
    <w:rsid w:val="00356BE1"/>
    <w:rsid w:val="003724A0"/>
    <w:rsid w:val="003A1E7E"/>
    <w:rsid w:val="00423F0E"/>
    <w:rsid w:val="004257C1"/>
    <w:rsid w:val="00461FAC"/>
    <w:rsid w:val="004624F3"/>
    <w:rsid w:val="00475D6B"/>
    <w:rsid w:val="00482DD7"/>
    <w:rsid w:val="004C431D"/>
    <w:rsid w:val="00520FD8"/>
    <w:rsid w:val="00566C51"/>
    <w:rsid w:val="0058771B"/>
    <w:rsid w:val="005A41A3"/>
    <w:rsid w:val="005B2CB5"/>
    <w:rsid w:val="005E6184"/>
    <w:rsid w:val="00613607"/>
    <w:rsid w:val="00625FFC"/>
    <w:rsid w:val="0065119A"/>
    <w:rsid w:val="00673DAC"/>
    <w:rsid w:val="006B25DB"/>
    <w:rsid w:val="00706FAF"/>
    <w:rsid w:val="0075495E"/>
    <w:rsid w:val="007879D9"/>
    <w:rsid w:val="007B339B"/>
    <w:rsid w:val="008020F8"/>
    <w:rsid w:val="00834549"/>
    <w:rsid w:val="008368EE"/>
    <w:rsid w:val="00842FAA"/>
    <w:rsid w:val="00846656"/>
    <w:rsid w:val="00887921"/>
    <w:rsid w:val="00897C41"/>
    <w:rsid w:val="008B2D0B"/>
    <w:rsid w:val="008D255E"/>
    <w:rsid w:val="008D414D"/>
    <w:rsid w:val="008D6B67"/>
    <w:rsid w:val="008F40CE"/>
    <w:rsid w:val="00974F70"/>
    <w:rsid w:val="009B46F8"/>
    <w:rsid w:val="009E7C25"/>
    <w:rsid w:val="00A01449"/>
    <w:rsid w:val="00A01962"/>
    <w:rsid w:val="00A5688D"/>
    <w:rsid w:val="00A80E46"/>
    <w:rsid w:val="00A960C3"/>
    <w:rsid w:val="00AA55A4"/>
    <w:rsid w:val="00AB09C5"/>
    <w:rsid w:val="00AB6147"/>
    <w:rsid w:val="00AD4F65"/>
    <w:rsid w:val="00AE3158"/>
    <w:rsid w:val="00AE4AB7"/>
    <w:rsid w:val="00B30ABE"/>
    <w:rsid w:val="00B30D64"/>
    <w:rsid w:val="00B31B5E"/>
    <w:rsid w:val="00B71A9A"/>
    <w:rsid w:val="00B73BBC"/>
    <w:rsid w:val="00BB77C8"/>
    <w:rsid w:val="00BC539F"/>
    <w:rsid w:val="00BD1ABB"/>
    <w:rsid w:val="00BE53A8"/>
    <w:rsid w:val="00BF5B16"/>
    <w:rsid w:val="00C630D0"/>
    <w:rsid w:val="00C70842"/>
    <w:rsid w:val="00C95EBA"/>
    <w:rsid w:val="00CD08BF"/>
    <w:rsid w:val="00CD139F"/>
    <w:rsid w:val="00CE2782"/>
    <w:rsid w:val="00CF4DA3"/>
    <w:rsid w:val="00D36E6D"/>
    <w:rsid w:val="00D37DF8"/>
    <w:rsid w:val="00D512BD"/>
    <w:rsid w:val="00D52200"/>
    <w:rsid w:val="00D83151"/>
    <w:rsid w:val="00D912BA"/>
    <w:rsid w:val="00D9509D"/>
    <w:rsid w:val="00DA5759"/>
    <w:rsid w:val="00DA7576"/>
    <w:rsid w:val="00DB5AB9"/>
    <w:rsid w:val="00DF0E74"/>
    <w:rsid w:val="00E60F43"/>
    <w:rsid w:val="00E663B8"/>
    <w:rsid w:val="00E97A10"/>
    <w:rsid w:val="00EA32D2"/>
    <w:rsid w:val="00EC00FE"/>
    <w:rsid w:val="00EE562E"/>
    <w:rsid w:val="00F07104"/>
    <w:rsid w:val="00F0775F"/>
    <w:rsid w:val="00F129C9"/>
    <w:rsid w:val="00F731A2"/>
    <w:rsid w:val="00F73D97"/>
    <w:rsid w:val="00F77066"/>
    <w:rsid w:val="00F80906"/>
    <w:rsid w:val="00F84B3A"/>
    <w:rsid w:val="00FD092E"/>
    <w:rsid w:val="00FF4287"/>
    <w:rsid w:val="04DF1D69"/>
    <w:rsid w:val="06435EBB"/>
    <w:rsid w:val="0B636B1F"/>
    <w:rsid w:val="0C496681"/>
    <w:rsid w:val="12CF0EAF"/>
    <w:rsid w:val="13A95CC8"/>
    <w:rsid w:val="14280341"/>
    <w:rsid w:val="1CE66023"/>
    <w:rsid w:val="244E4686"/>
    <w:rsid w:val="2A527E00"/>
    <w:rsid w:val="2F54394A"/>
    <w:rsid w:val="30AA3674"/>
    <w:rsid w:val="3DAB3CE2"/>
    <w:rsid w:val="3F4076B7"/>
    <w:rsid w:val="54380212"/>
    <w:rsid w:val="5CF4661B"/>
    <w:rsid w:val="6CC27AA5"/>
    <w:rsid w:val="71C6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A8A59"/>
  <w15:docId w15:val="{FA0A2FC6-F9C7-420C-8E67-C84141DF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MT" w:eastAsia="Arial MT" w:hAnsi="Arial MT" w:cs="Arial MT"/>
      <w:sz w:val="22"/>
      <w:szCs w:val="22"/>
      <w:lang w:eastAsia="en-US"/>
    </w:rPr>
  </w:style>
  <w:style w:type="paragraph" w:styleId="Ttulo1">
    <w:name w:val="heading 1"/>
    <w:basedOn w:val="Normal"/>
    <w:next w:val="Normal"/>
    <w:link w:val="Ttulo1Char"/>
    <w:qFormat/>
    <w:pPr>
      <w:keepNext/>
      <w:widowControl/>
      <w:adjustRightInd w:val="0"/>
      <w:outlineLvl w:val="0"/>
    </w:pPr>
    <w:rPr>
      <w:rFonts w:ascii="Arial" w:eastAsia="Times New Roman" w:hAnsi="Arial" w:cs="Arial"/>
      <w:b/>
      <w:bCs/>
      <w:sz w:val="23"/>
      <w:szCs w:val="23"/>
      <w:lang w:eastAsia="pt-BR"/>
    </w:rPr>
  </w:style>
  <w:style w:type="paragraph" w:styleId="Ttulo2">
    <w:name w:val="heading 2"/>
    <w:basedOn w:val="Normal"/>
    <w:next w:val="Normal"/>
    <w:link w:val="Ttulo2Char"/>
    <w:qFormat/>
    <w:pPr>
      <w:keepNext/>
      <w:widowControl/>
      <w:autoSpaceDE/>
      <w:autoSpaceDN/>
      <w:spacing w:before="240" w:after="60"/>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autoRedefine/>
    <w:qFormat/>
    <w:rPr>
      <w:color w:val="800080"/>
      <w:u w:val="single"/>
    </w:rPr>
  </w:style>
  <w:style w:type="character" w:styleId="Hyperlink">
    <w:name w:val="Hyperlink"/>
    <w:qFormat/>
    <w:rPr>
      <w:color w:val="0000FF"/>
      <w:u w:val="single"/>
    </w:rPr>
  </w:style>
  <w:style w:type="paragraph" w:styleId="Corpodetexto">
    <w:name w:val="Body Text"/>
    <w:basedOn w:val="Normal"/>
    <w:link w:val="CorpodetextoChar"/>
    <w:autoRedefine/>
    <w:qFormat/>
    <w:rsid w:val="00EA32D2"/>
    <w:pPr>
      <w:tabs>
        <w:tab w:val="left" w:pos="438"/>
      </w:tabs>
      <w:jc w:val="center"/>
    </w:pPr>
    <w:rPr>
      <w:rFonts w:ascii="Times New Roman" w:eastAsia="Segoe UI" w:hAnsi="Times New Roman" w:cs="Times New Roman"/>
      <w:sz w:val="20"/>
      <w:lang w:eastAsia="zh-CN"/>
    </w:rPr>
  </w:style>
  <w:style w:type="paragraph" w:styleId="Ttulo">
    <w:name w:val="Title"/>
    <w:basedOn w:val="Normal"/>
    <w:link w:val="TtuloChar"/>
    <w:autoRedefine/>
    <w:qFormat/>
    <w:pPr>
      <w:widowControl/>
      <w:autoSpaceDE/>
      <w:autoSpaceDN/>
      <w:jc w:val="center"/>
    </w:pPr>
    <w:rPr>
      <w:rFonts w:ascii="Times New Roman" w:eastAsia="Times New Roman" w:hAnsi="Times New Roman" w:cs="Times New Roman"/>
      <w:b/>
      <w:bCs/>
      <w:sz w:val="24"/>
      <w:szCs w:val="28"/>
      <w:lang w:eastAsia="pt-BR"/>
    </w:rPr>
  </w:style>
  <w:style w:type="paragraph" w:styleId="NormalWeb">
    <w:name w:val="Normal (Web)"/>
    <w:basedOn w:val="Normal"/>
    <w:uiPriority w:val="99"/>
    <w:qFormat/>
    <w:pPr>
      <w:spacing w:before="100" w:beforeAutospacing="1" w:after="100" w:afterAutospacing="1"/>
    </w:pPr>
  </w:style>
  <w:style w:type="paragraph" w:styleId="Corpodetexto3">
    <w:name w:val="Body Text 3"/>
    <w:basedOn w:val="Normal"/>
    <w:link w:val="Corpodetexto3Char"/>
    <w:autoRedefine/>
    <w:qFormat/>
    <w:pPr>
      <w:widowControl/>
      <w:autoSpaceDE/>
      <w:autoSpaceDN/>
      <w:spacing w:after="120"/>
    </w:pPr>
    <w:rPr>
      <w:rFonts w:ascii="Times New Roman" w:eastAsia="Times New Roman" w:hAnsi="Times New Roman" w:cs="Times New Roman"/>
      <w:sz w:val="16"/>
      <w:szCs w:val="16"/>
      <w:lang w:eastAsia="pt-BR"/>
    </w:rPr>
  </w:style>
  <w:style w:type="paragraph" w:styleId="Cabealho">
    <w:name w:val="header"/>
    <w:basedOn w:val="Normal"/>
    <w:link w:val="CabealhoChar"/>
    <w:uiPriority w:val="99"/>
    <w:qFormat/>
    <w:pPr>
      <w:tabs>
        <w:tab w:val="center" w:pos="4252"/>
        <w:tab w:val="right" w:pos="8504"/>
      </w:tabs>
    </w:pPr>
  </w:style>
  <w:style w:type="paragraph" w:styleId="Rodap">
    <w:name w:val="footer"/>
    <w:basedOn w:val="Normal"/>
    <w:link w:val="RodapChar"/>
    <w:autoRedefine/>
    <w:uiPriority w:val="99"/>
    <w:qFormat/>
    <w:pPr>
      <w:tabs>
        <w:tab w:val="center" w:pos="4252"/>
        <w:tab w:val="right" w:pos="8504"/>
      </w:tabs>
    </w:pPr>
  </w:style>
  <w:style w:type="paragraph" w:styleId="Textodebalo">
    <w:name w:val="Balloon Text"/>
    <w:basedOn w:val="Normal"/>
    <w:link w:val="TextodebaloChar"/>
    <w:uiPriority w:val="99"/>
    <w:unhideWhenUsed/>
    <w:qFormat/>
    <w:pPr>
      <w:widowControl/>
      <w:autoSpaceDE/>
      <w:autoSpaceDN/>
    </w:pPr>
    <w:rPr>
      <w:rFonts w:ascii="Tahoma" w:eastAsia="Times New Roman" w:hAnsi="Tahoma" w:cs="Tahoma"/>
      <w:sz w:val="16"/>
      <w:szCs w:val="16"/>
      <w:lang w:eastAsia="pt-BR"/>
    </w:rPr>
  </w:style>
  <w:style w:type="table" w:styleId="Tabelacomgrade">
    <w:name w:val="Table Grid"/>
    <w:autoRedefine/>
    <w:uiPriority w:val="59"/>
    <w:qFormat/>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0" w:type="dxa"/>
        <w:bottom w:w="0" w:type="dxa"/>
        <w:right w:w="100" w:type="dxa"/>
      </w:tblCellMar>
    </w:tblPr>
    <w:tcPr>
      <w:tcBorders>
        <w:top w:val="single" w:sz="2" w:space="0" w:color="auto"/>
        <w:left w:val="single" w:sz="2" w:space="0" w:color="auto"/>
        <w:bottom w:val="single" w:sz="2" w:space="0" w:color="auto"/>
        <w:right w:val="single" w:sz="2" w:space="0" w:color="auto"/>
      </w:tcBorders>
    </w:tcPr>
  </w:style>
  <w:style w:type="paragraph" w:customStyle="1" w:styleId="TableParagraph">
    <w:name w:val="Table Paragraph"/>
    <w:basedOn w:val="Normal"/>
    <w:autoRedefine/>
    <w:uiPriority w:val="1"/>
    <w:qFormat/>
    <w:rsid w:val="00B73BBC"/>
    <w:pPr>
      <w:tabs>
        <w:tab w:val="left" w:pos="1328"/>
      </w:tabs>
      <w:spacing w:before="16" w:line="278" w:lineRule="auto"/>
      <w:ind w:left="10" w:right="-15"/>
      <w:jc w:val="both"/>
    </w:pPr>
    <w:rPr>
      <w:rFonts w:ascii="Times New Roman" w:hAnsi="Times New Roman" w:cs="Times New Roman"/>
      <w:spacing w:val="-2"/>
      <w:sz w:val="24"/>
      <w:szCs w:val="24"/>
    </w:rPr>
  </w:style>
  <w:style w:type="character" w:customStyle="1" w:styleId="CorpodetextoChar">
    <w:name w:val="Corpo de texto Char"/>
    <w:link w:val="Corpodetexto"/>
    <w:qFormat/>
    <w:rsid w:val="00EA32D2"/>
    <w:rPr>
      <w:rFonts w:eastAsia="Segoe UI"/>
      <w:szCs w:val="22"/>
      <w:lang w:eastAsia="zh-CN"/>
    </w:rPr>
  </w:style>
  <w:style w:type="paragraph" w:styleId="PargrafodaLista">
    <w:name w:val="List Paragraph"/>
    <w:basedOn w:val="Normal"/>
    <w:uiPriority w:val="1"/>
    <w:qFormat/>
    <w:pPr>
      <w:ind w:left="958" w:hanging="201"/>
      <w:jc w:val="both"/>
    </w:pPr>
    <w:rPr>
      <w:lang w:val="pt-PT"/>
    </w:rPr>
  </w:style>
  <w:style w:type="character" w:customStyle="1" w:styleId="CabealhoChar">
    <w:name w:val="Cabeçalho Char"/>
    <w:basedOn w:val="Fontepargpadro"/>
    <w:link w:val="Cabealho"/>
    <w:uiPriority w:val="99"/>
    <w:qFormat/>
    <w:rPr>
      <w:rFonts w:ascii="Arial MT" w:eastAsia="Arial MT" w:hAnsi="Arial MT" w:cs="Arial MT"/>
      <w:sz w:val="22"/>
      <w:szCs w:val="22"/>
      <w:lang w:val="pt-PT" w:eastAsia="en-US"/>
    </w:rPr>
  </w:style>
  <w:style w:type="character" w:customStyle="1" w:styleId="RodapChar">
    <w:name w:val="Rodapé Char"/>
    <w:basedOn w:val="Fontepargpadro"/>
    <w:link w:val="Rodap"/>
    <w:autoRedefine/>
    <w:uiPriority w:val="99"/>
    <w:qFormat/>
    <w:rPr>
      <w:rFonts w:ascii="Arial MT" w:eastAsia="Arial MT" w:hAnsi="Arial MT" w:cs="Arial MT"/>
      <w:sz w:val="22"/>
      <w:szCs w:val="22"/>
      <w:lang w:val="pt-PT" w:eastAsia="en-US"/>
    </w:rPr>
  </w:style>
  <w:style w:type="paragraph" w:styleId="SemEspaamento">
    <w:name w:val="No Spacing"/>
    <w:uiPriority w:val="1"/>
    <w:qFormat/>
    <w:rPr>
      <w:rFonts w:ascii="Calibri" w:eastAsia="Calibri" w:hAnsi="Calibri"/>
      <w:sz w:val="22"/>
      <w:szCs w:val="22"/>
      <w:lang w:eastAsia="en-US"/>
    </w:rPr>
  </w:style>
  <w:style w:type="character" w:customStyle="1" w:styleId="Ttulo1Char">
    <w:name w:val="Título 1 Char"/>
    <w:basedOn w:val="Fontepargpadro"/>
    <w:link w:val="Ttulo1"/>
    <w:autoRedefine/>
    <w:qFormat/>
    <w:rPr>
      <w:rFonts w:ascii="Arial" w:eastAsia="Times New Roman" w:hAnsi="Arial" w:cs="Arial"/>
      <w:b/>
      <w:bCs/>
      <w:sz w:val="23"/>
      <w:szCs w:val="23"/>
    </w:rPr>
  </w:style>
  <w:style w:type="character" w:customStyle="1" w:styleId="Ttulo2Char">
    <w:name w:val="Título 2 Char"/>
    <w:basedOn w:val="Fontepargpadro"/>
    <w:link w:val="Ttulo2"/>
    <w:qFormat/>
    <w:rPr>
      <w:rFonts w:ascii="Arial" w:eastAsia="Times New Roman" w:hAnsi="Arial" w:cs="Arial"/>
      <w:b/>
      <w:bCs/>
      <w:i/>
      <w:iCs/>
      <w:sz w:val="28"/>
      <w:szCs w:val="28"/>
    </w:rPr>
  </w:style>
  <w:style w:type="character" w:customStyle="1" w:styleId="TtuloChar">
    <w:name w:val="Título Char"/>
    <w:basedOn w:val="Fontepargpadro"/>
    <w:link w:val="Ttulo"/>
    <w:qFormat/>
    <w:rPr>
      <w:rFonts w:eastAsia="Times New Roman"/>
      <w:b/>
      <w:bCs/>
      <w:sz w:val="24"/>
      <w:szCs w:val="28"/>
    </w:rPr>
  </w:style>
  <w:style w:type="character" w:customStyle="1" w:styleId="Corpodetexto3Char">
    <w:name w:val="Corpo de texto 3 Char"/>
    <w:basedOn w:val="Fontepargpadro"/>
    <w:link w:val="Corpodetexto3"/>
    <w:qFormat/>
    <w:rPr>
      <w:rFonts w:eastAsia="Times New Roman"/>
      <w:sz w:val="16"/>
      <w:szCs w:val="16"/>
    </w:rPr>
  </w:style>
  <w:style w:type="character" w:customStyle="1" w:styleId="TextodebaloChar">
    <w:name w:val="Texto de balão Char"/>
    <w:basedOn w:val="Fontepargpadro"/>
    <w:link w:val="Textodebalo"/>
    <w:autoRedefine/>
    <w:uiPriority w:val="99"/>
    <w:qFormat/>
    <w:rPr>
      <w:rFonts w:ascii="Tahoma" w:eastAsia="Times New Roman" w:hAnsi="Tahoma" w:cs="Tahoma"/>
      <w:sz w:val="16"/>
      <w:szCs w:val="16"/>
    </w:rPr>
  </w:style>
  <w:style w:type="paragraph" w:customStyle="1" w:styleId="BodyText21">
    <w:name w:val="Body Text 21"/>
    <w:basedOn w:val="Normal"/>
    <w:qFormat/>
    <w:pPr>
      <w:widowControl/>
      <w:autoSpaceDE/>
      <w:autoSpaceDN/>
      <w:jc w:val="both"/>
    </w:pPr>
    <w:rPr>
      <w:rFonts w:ascii="Times New Roman" w:eastAsia="Times New Roman" w:hAnsi="Times New Roman" w:cs="Times New Roman"/>
      <w:sz w:val="24"/>
      <w:szCs w:val="24"/>
      <w:lang w:eastAsia="pt-BR"/>
    </w:rPr>
  </w:style>
  <w:style w:type="paragraph" w:customStyle="1" w:styleId="Contrato">
    <w:name w:val="Contrato"/>
    <w:basedOn w:val="Normal"/>
    <w:autoRedefine/>
    <w:qFormat/>
    <w:pPr>
      <w:widowControl/>
      <w:autoSpaceDE/>
      <w:autoSpaceDN/>
      <w:spacing w:after="240"/>
      <w:ind w:left="1210" w:hanging="360"/>
      <w:jc w:val="both"/>
    </w:pPr>
    <w:rPr>
      <w:rFonts w:ascii="Times New Roman" w:eastAsia="Times New Roman" w:hAnsi="Times New Roman" w:cs="Times New Roman"/>
      <w:sz w:val="24"/>
      <w:szCs w:val="20"/>
      <w:lang w:eastAsia="pt-BR"/>
    </w:rPr>
  </w:style>
  <w:style w:type="paragraph" w:customStyle="1" w:styleId="Corpodetexto21">
    <w:name w:val="Corpo de texto 21"/>
    <w:basedOn w:val="Normal"/>
    <w:qFormat/>
    <w:pPr>
      <w:widowControl/>
      <w:suppressAutoHyphens/>
      <w:autoSpaceDE/>
      <w:autoSpaceDN/>
      <w:jc w:val="both"/>
    </w:pPr>
    <w:rPr>
      <w:rFonts w:ascii="Times New Roman" w:eastAsia="Times New Roman" w:hAnsi="Times New Roman" w:cs="Times New Roman"/>
      <w:b/>
      <w:sz w:val="24"/>
      <w:szCs w:val="20"/>
      <w:lang w:eastAsia="ar-SA"/>
    </w:rPr>
  </w:style>
  <w:style w:type="paragraph" w:customStyle="1" w:styleId="Corpodetexto22">
    <w:name w:val="Corpo de texto 22"/>
    <w:basedOn w:val="Normal"/>
    <w:qFormat/>
    <w:pPr>
      <w:widowControl/>
      <w:suppressAutoHyphens/>
      <w:autoSpaceDE/>
      <w:autoSpaceDN/>
      <w:jc w:val="both"/>
    </w:pPr>
    <w:rPr>
      <w:rFonts w:ascii="Times New Roman" w:eastAsia="Times New Roman" w:hAnsi="Times New Roman" w:cs="Times New Roman"/>
      <w:b/>
      <w:sz w:val="24"/>
      <w:szCs w:val="20"/>
      <w:lang w:eastAsia="ar-SA"/>
    </w:rPr>
  </w:style>
  <w:style w:type="paragraph" w:customStyle="1" w:styleId="Contedodatabela">
    <w:name w:val="Conteúdo da tabela"/>
    <w:basedOn w:val="Normal"/>
    <w:qFormat/>
    <w:pPr>
      <w:suppressLineNumbers/>
      <w:suppressAutoHyphens/>
      <w:autoSpaceDE/>
      <w:autoSpaceDN/>
    </w:pPr>
    <w:rPr>
      <w:rFonts w:ascii="Times New Roman" w:eastAsia="Arial Unicode MS" w:hAnsi="Times New Roman" w:cs="Tahoma"/>
      <w:sz w:val="24"/>
      <w:szCs w:val="24"/>
      <w:lang w:eastAsia="pt-BR" w:bidi="pt-BR"/>
    </w:rPr>
  </w:style>
  <w:style w:type="table" w:customStyle="1" w:styleId="Style32">
    <w:name w:val="_Style 32"/>
    <w:basedOn w:val="Tabelanormal"/>
    <w:autoRedefine/>
    <w:qFormat/>
    <w:rPr>
      <w:rFonts w:eastAsia="Times New Roman"/>
      <w:color w:val="000000"/>
    </w:rPr>
    <w:tblPr>
      <w:tblCellMar>
        <w:left w:w="0" w:type="dxa"/>
        <w:right w:w="0" w:type="dxa"/>
      </w:tblCellMar>
    </w:tblPr>
  </w:style>
  <w:style w:type="table" w:customStyle="1" w:styleId="Style33">
    <w:name w:val="_Style 33"/>
    <w:basedOn w:val="Tabelanormal"/>
    <w:autoRedefine/>
    <w:qFormat/>
    <w:rPr>
      <w:rFonts w:eastAsia="Times New Roman"/>
      <w:color w:val="000000"/>
    </w:rPr>
    <w:tblPr>
      <w:tblCellMar>
        <w:left w:w="0" w:type="dxa"/>
        <w:right w:w="0"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Standard">
    <w:name w:val="Standard"/>
    <w:autoRedefine/>
    <w:qFormat/>
    <w:pPr>
      <w:widowControl w:val="0"/>
      <w:suppressAutoHyphens/>
      <w:autoSpaceDN w:val="0"/>
    </w:pPr>
    <w:rPr>
      <w:rFonts w:ascii="Liberation Serif" w:hAnsi="Liberation Serif" w:cs="Mangal"/>
      <w:kern w:val="3"/>
      <w:sz w:val="24"/>
      <w:szCs w:val="24"/>
      <w:lang w:eastAsia="zh-CN" w:bidi="hi-IN"/>
    </w:rPr>
  </w:style>
  <w:style w:type="paragraph" w:customStyle="1" w:styleId="TableContents">
    <w:name w:val="Table Contents"/>
    <w:basedOn w:val="Standard"/>
    <w:autoRedefine/>
    <w:qFormat/>
  </w:style>
  <w:style w:type="character" w:customStyle="1" w:styleId="MenoPendente1">
    <w:name w:val="Menção Pendente1"/>
    <w:basedOn w:val="Fontepargpadro"/>
    <w:uiPriority w:val="99"/>
    <w:semiHidden/>
    <w:unhideWhenUsed/>
    <w:rPr>
      <w:color w:val="605E5C"/>
      <w:shd w:val="clear" w:color="auto" w:fill="E1DFDD"/>
    </w:rPr>
  </w:style>
  <w:style w:type="character" w:styleId="MenoPendente">
    <w:name w:val="Unresolved Mention"/>
    <w:basedOn w:val="Fontepargpadro"/>
    <w:uiPriority w:val="99"/>
    <w:semiHidden/>
    <w:unhideWhenUsed/>
    <w:rsid w:val="00B7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11156">
      <w:bodyDiv w:val="1"/>
      <w:marLeft w:val="0"/>
      <w:marRight w:val="0"/>
      <w:marTop w:val="0"/>
      <w:marBottom w:val="0"/>
      <w:divBdr>
        <w:top w:val="none" w:sz="0" w:space="0" w:color="auto"/>
        <w:left w:val="none" w:sz="0" w:space="0" w:color="auto"/>
        <w:bottom w:val="none" w:sz="0" w:space="0" w:color="auto"/>
        <w:right w:val="none" w:sz="0" w:space="0" w:color="auto"/>
      </w:divBdr>
    </w:div>
    <w:div w:id="1862626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coren-mt.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1707</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Ingrid.Acosta</dc:creator>
  <cp:lastModifiedBy>Lelê Espiga</cp:lastModifiedBy>
  <cp:revision>2</cp:revision>
  <cp:lastPrinted>2025-03-28T17:22:00Z</cp:lastPrinted>
  <dcterms:created xsi:type="dcterms:W3CDTF">2025-03-28T17:24:00Z</dcterms:created>
  <dcterms:modified xsi:type="dcterms:W3CDTF">2025-03-28T17:24:00Z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229789AF4D284D809058ABAC516205F8_13</vt:lpwstr>
  </property>
</Properties>
</file>